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3270"/>
        </w:tabs>
        <w:spacing w:line="300" w:lineRule="auto"/>
        <w:jc w:val="left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</w:rPr>
        <w:t>附件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</w:t>
      </w:r>
      <w:bookmarkStart w:id="0" w:name="_GoBack"/>
      <w:bookmarkEnd w:id="0"/>
    </w:p>
    <w:p>
      <w:pPr>
        <w:spacing w:after="156" w:afterLines="50" w:line="300" w:lineRule="auto"/>
        <w:jc w:val="center"/>
      </w:pPr>
    </w:p>
    <w:p>
      <w:pPr>
        <w:tabs>
          <w:tab w:val="left" w:pos="3270"/>
        </w:tabs>
        <w:spacing w:line="300" w:lineRule="auto"/>
        <w:jc w:val="center"/>
        <w:rPr>
          <w:rFonts w:eastAsia="方正小标宋简体"/>
          <w:sz w:val="32"/>
          <w:szCs w:val="32"/>
        </w:rPr>
      </w:pPr>
      <w:r>
        <w:rPr>
          <w:rFonts w:hint="eastAsia" w:eastAsia="方正小标宋简体"/>
          <w:sz w:val="32"/>
          <w:szCs w:val="32"/>
        </w:rPr>
        <w:t>“课程思政”教学竞赛</w:t>
      </w:r>
      <w:r>
        <w:rPr>
          <w:rFonts w:eastAsia="方正小标宋简体"/>
          <w:sz w:val="32"/>
          <w:szCs w:val="32"/>
        </w:rPr>
        <w:t>评审标准</w:t>
      </w:r>
    </w:p>
    <w:tbl>
      <w:tblPr>
        <w:tblStyle w:val="4"/>
        <w:tblW w:w="854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3"/>
        <w:gridCol w:w="5652"/>
        <w:gridCol w:w="10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99" w:hRule="atLeast"/>
          <w:jc w:val="center"/>
        </w:trPr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eastAsia="仿宋_GB2312" w:cs="Calibri"/>
                <w:b/>
                <w:sz w:val="28"/>
                <w:szCs w:val="32"/>
              </w:rPr>
            </w:pPr>
            <w:r>
              <w:rPr>
                <w:rFonts w:eastAsia="仿宋_GB2312" w:cs="Calibri"/>
                <w:b/>
                <w:sz w:val="28"/>
                <w:szCs w:val="32"/>
              </w:rPr>
              <w:t>评价指标</w:t>
            </w:r>
          </w:p>
        </w:tc>
        <w:tc>
          <w:tcPr>
            <w:tcW w:w="5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eastAsia="仿宋_GB2312" w:cs="Calibri"/>
                <w:b/>
                <w:sz w:val="28"/>
                <w:szCs w:val="32"/>
              </w:rPr>
            </w:pPr>
            <w:r>
              <w:rPr>
                <w:rFonts w:eastAsia="仿宋_GB2312" w:cs="Calibri"/>
                <w:b/>
                <w:sz w:val="28"/>
                <w:szCs w:val="32"/>
              </w:rPr>
              <w:t>评分内容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eastAsia="仿宋_GB2312" w:cs="Calibri"/>
                <w:b/>
                <w:sz w:val="28"/>
                <w:szCs w:val="32"/>
              </w:rPr>
            </w:pPr>
            <w:r>
              <w:rPr>
                <w:rFonts w:eastAsia="仿宋_GB2312" w:cs="Calibri"/>
                <w:b/>
                <w:sz w:val="28"/>
                <w:szCs w:val="32"/>
              </w:rPr>
              <w:t>分值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18" w:hRule="atLeast"/>
          <w:jc w:val="center"/>
        </w:trPr>
        <w:tc>
          <w:tcPr>
            <w:tcW w:w="181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eastAsia="仿宋_GB2312" w:cs="Calibri"/>
                <w:b/>
                <w:sz w:val="28"/>
                <w:szCs w:val="32"/>
              </w:rPr>
            </w:pPr>
            <w:r>
              <w:rPr>
                <w:rFonts w:eastAsia="仿宋_GB2312" w:cs="Calibri"/>
                <w:b/>
                <w:sz w:val="28"/>
                <w:szCs w:val="32"/>
              </w:rPr>
              <w:t>教学设计</w:t>
            </w:r>
          </w:p>
        </w:tc>
        <w:tc>
          <w:tcPr>
            <w:tcW w:w="5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eastAsia="仿宋_GB2312" w:cs="Calibri"/>
                <w:sz w:val="28"/>
                <w:szCs w:val="32"/>
              </w:rPr>
            </w:pPr>
            <w:r>
              <w:rPr>
                <w:rFonts w:eastAsia="仿宋_GB2312" w:cs="Calibri"/>
                <w:sz w:val="28"/>
                <w:szCs w:val="32"/>
              </w:rPr>
              <w:t>备课充分，精心设计教学各个环节，“工艺”精湛</w:t>
            </w:r>
            <w:r>
              <w:rPr>
                <w:rFonts w:hint="eastAsia" w:eastAsia="仿宋_GB2312" w:cs="Calibri"/>
                <w:sz w:val="28"/>
                <w:szCs w:val="32"/>
              </w:rPr>
              <w:t>；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eastAsia="仿宋_GB2312" w:cs="Calibri"/>
                <w:sz w:val="28"/>
                <w:szCs w:val="32"/>
              </w:rPr>
            </w:pPr>
            <w:r>
              <w:rPr>
                <w:rFonts w:eastAsia="仿宋_GB2312" w:cs="Calibri"/>
                <w:sz w:val="28"/>
                <w:szCs w:val="32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6" w:hRule="atLeast"/>
          <w:jc w:val="center"/>
        </w:trPr>
        <w:tc>
          <w:tcPr>
            <w:tcW w:w="181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eastAsia="仿宋_GB2312" w:cs="Calibri"/>
                <w:b/>
                <w:sz w:val="28"/>
                <w:szCs w:val="32"/>
              </w:rPr>
            </w:pPr>
          </w:p>
        </w:tc>
        <w:tc>
          <w:tcPr>
            <w:tcW w:w="5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eastAsia="仿宋_GB2312" w:cs="Calibri"/>
                <w:sz w:val="28"/>
                <w:szCs w:val="32"/>
              </w:rPr>
            </w:pPr>
            <w:r>
              <w:rPr>
                <w:rFonts w:eastAsia="仿宋_GB2312" w:cs="Calibri"/>
                <w:sz w:val="28"/>
                <w:szCs w:val="32"/>
              </w:rPr>
              <w:t>知识讲授符合教育学、心理学的育人规律</w:t>
            </w:r>
            <w:r>
              <w:rPr>
                <w:rFonts w:hint="eastAsia" w:eastAsia="仿宋_GB2312" w:cs="Calibri"/>
                <w:sz w:val="28"/>
                <w:szCs w:val="32"/>
              </w:rPr>
              <w:t>。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eastAsia="仿宋_GB2312" w:cs="Calibri"/>
                <w:sz w:val="28"/>
                <w:szCs w:val="32"/>
              </w:rPr>
            </w:pPr>
            <w:r>
              <w:rPr>
                <w:rFonts w:eastAsia="仿宋_GB2312" w:cs="Calibri"/>
                <w:sz w:val="28"/>
                <w:szCs w:val="32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78" w:hRule="atLeast"/>
          <w:jc w:val="center"/>
        </w:trPr>
        <w:tc>
          <w:tcPr>
            <w:tcW w:w="181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eastAsia="仿宋_GB2312" w:cs="Calibri"/>
                <w:b/>
                <w:sz w:val="28"/>
                <w:szCs w:val="32"/>
              </w:rPr>
            </w:pPr>
            <w:r>
              <w:rPr>
                <w:rFonts w:eastAsia="仿宋_GB2312" w:cs="Calibri"/>
                <w:b/>
                <w:sz w:val="28"/>
                <w:szCs w:val="32"/>
              </w:rPr>
              <w:t>育人因素</w:t>
            </w:r>
          </w:p>
          <w:p>
            <w:pPr>
              <w:snapToGrid w:val="0"/>
              <w:jc w:val="center"/>
              <w:rPr>
                <w:rFonts w:eastAsia="仿宋_GB2312" w:cs="Calibri"/>
                <w:b/>
                <w:sz w:val="28"/>
                <w:szCs w:val="32"/>
              </w:rPr>
            </w:pPr>
            <w:r>
              <w:rPr>
                <w:rFonts w:eastAsia="仿宋_GB2312" w:cs="Calibri"/>
                <w:b/>
                <w:sz w:val="28"/>
                <w:szCs w:val="32"/>
              </w:rPr>
              <w:t>挖掘转化</w:t>
            </w:r>
          </w:p>
        </w:tc>
        <w:tc>
          <w:tcPr>
            <w:tcW w:w="5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eastAsia="仿宋_GB2312" w:cs="Calibri"/>
                <w:sz w:val="28"/>
                <w:szCs w:val="32"/>
              </w:rPr>
            </w:pPr>
            <w:r>
              <w:rPr>
                <w:rFonts w:eastAsia="仿宋_GB2312" w:cs="Calibri"/>
                <w:sz w:val="28"/>
                <w:szCs w:val="32"/>
              </w:rPr>
              <w:t>具有良好的专业素养、科学精神、人文情怀和马克思主义理论功底，善于提炼专业课程蕴含的育人因素</w:t>
            </w:r>
            <w:r>
              <w:rPr>
                <w:rFonts w:hint="eastAsia" w:eastAsia="仿宋_GB2312" w:cs="Calibri"/>
                <w:sz w:val="28"/>
                <w:szCs w:val="32"/>
              </w:rPr>
              <w:t>；</w:t>
            </w:r>
            <w:r>
              <w:rPr>
                <w:rFonts w:eastAsia="仿宋_GB2312" w:cs="Calibri"/>
                <w:sz w:val="28"/>
                <w:szCs w:val="32"/>
              </w:rPr>
              <w:t xml:space="preserve"> 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eastAsia="仿宋_GB2312" w:cs="Calibri"/>
                <w:sz w:val="28"/>
                <w:szCs w:val="32"/>
              </w:rPr>
            </w:pPr>
            <w:r>
              <w:rPr>
                <w:rFonts w:eastAsia="仿宋_GB2312" w:cs="Calibri"/>
                <w:sz w:val="28"/>
                <w:szCs w:val="32"/>
              </w:rPr>
              <w:t>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78" w:hRule="atLeast"/>
          <w:jc w:val="center"/>
        </w:trPr>
        <w:tc>
          <w:tcPr>
            <w:tcW w:w="181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eastAsia="仿宋_GB2312" w:cs="Calibri"/>
                <w:b/>
                <w:sz w:val="28"/>
                <w:szCs w:val="32"/>
              </w:rPr>
            </w:pPr>
          </w:p>
        </w:tc>
        <w:tc>
          <w:tcPr>
            <w:tcW w:w="5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eastAsia="仿宋_GB2312" w:cs="Calibri"/>
                <w:sz w:val="28"/>
                <w:szCs w:val="32"/>
              </w:rPr>
            </w:pPr>
            <w:r>
              <w:rPr>
                <w:rFonts w:eastAsia="仿宋_GB2312" w:cs="Calibri"/>
                <w:sz w:val="28"/>
                <w:szCs w:val="32"/>
              </w:rPr>
              <w:t>善于将思想政治教育和专业知识传授融合，把思政教育巧妙渗透教学全过程，润物无声。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eastAsia="仿宋_GB2312" w:cs="Calibri"/>
                <w:sz w:val="28"/>
                <w:szCs w:val="32"/>
              </w:rPr>
            </w:pPr>
            <w:r>
              <w:rPr>
                <w:rFonts w:eastAsia="仿宋_GB2312" w:cs="Calibri"/>
                <w:sz w:val="28"/>
                <w:szCs w:val="32"/>
              </w:rPr>
              <w:t>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78" w:hRule="atLeast"/>
          <w:jc w:val="center"/>
        </w:trPr>
        <w:tc>
          <w:tcPr>
            <w:tcW w:w="181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eastAsia="仿宋_GB2312" w:cs="Calibri"/>
                <w:b/>
                <w:sz w:val="28"/>
                <w:szCs w:val="32"/>
              </w:rPr>
            </w:pPr>
            <w:r>
              <w:rPr>
                <w:rFonts w:eastAsia="仿宋_GB2312" w:cs="Calibri"/>
                <w:b/>
                <w:sz w:val="28"/>
                <w:szCs w:val="32"/>
              </w:rPr>
              <w:t>教学方法</w:t>
            </w:r>
          </w:p>
        </w:tc>
        <w:tc>
          <w:tcPr>
            <w:tcW w:w="5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eastAsia="仿宋_GB2312" w:cs="Calibri"/>
                <w:sz w:val="28"/>
                <w:szCs w:val="32"/>
              </w:rPr>
            </w:pPr>
            <w:r>
              <w:rPr>
                <w:rFonts w:eastAsia="仿宋_GB2312" w:cs="Calibri"/>
                <w:sz w:val="28"/>
                <w:szCs w:val="32"/>
              </w:rPr>
              <w:t>注重教学互动，突出学生主体地位，调动学生参与课堂积极性</w:t>
            </w:r>
            <w:r>
              <w:rPr>
                <w:rFonts w:hint="eastAsia" w:eastAsia="仿宋_GB2312" w:cs="Calibri"/>
                <w:sz w:val="28"/>
                <w:szCs w:val="32"/>
              </w:rPr>
              <w:t>；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eastAsia="仿宋_GB2312" w:cs="Calibri"/>
                <w:sz w:val="28"/>
                <w:szCs w:val="32"/>
              </w:rPr>
            </w:pPr>
            <w:r>
              <w:rPr>
                <w:rFonts w:eastAsia="仿宋_GB2312" w:cs="Calibri"/>
                <w:sz w:val="28"/>
                <w:szCs w:val="32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78" w:hRule="atLeast"/>
          <w:jc w:val="center"/>
        </w:trPr>
        <w:tc>
          <w:tcPr>
            <w:tcW w:w="181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eastAsia="仿宋_GB2312" w:cs="Calibri"/>
                <w:b/>
                <w:sz w:val="28"/>
                <w:szCs w:val="32"/>
              </w:rPr>
            </w:pPr>
          </w:p>
        </w:tc>
        <w:tc>
          <w:tcPr>
            <w:tcW w:w="5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eastAsia="仿宋_GB2312" w:cs="Calibri"/>
                <w:sz w:val="28"/>
                <w:szCs w:val="32"/>
              </w:rPr>
            </w:pPr>
            <w:r>
              <w:rPr>
                <w:rFonts w:eastAsia="仿宋_GB2312" w:cs="Calibri"/>
                <w:sz w:val="28"/>
                <w:szCs w:val="32"/>
              </w:rPr>
              <w:t>能综合运用现代信息技术手段和数字资源，教学内容呈现恰当，满足学生学习需求，“包装时尚”。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eastAsia="仿宋_GB2312" w:cs="Calibri"/>
                <w:sz w:val="28"/>
                <w:szCs w:val="32"/>
              </w:rPr>
            </w:pPr>
            <w:r>
              <w:rPr>
                <w:rFonts w:eastAsia="仿宋_GB2312" w:cs="Calibri"/>
                <w:sz w:val="28"/>
                <w:szCs w:val="32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78" w:hRule="atLeast"/>
          <w:jc w:val="center"/>
        </w:trPr>
        <w:tc>
          <w:tcPr>
            <w:tcW w:w="181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eastAsia="仿宋_GB2312" w:cs="Calibri"/>
                <w:b/>
                <w:sz w:val="28"/>
                <w:szCs w:val="32"/>
              </w:rPr>
            </w:pPr>
            <w:r>
              <w:rPr>
                <w:rFonts w:eastAsia="仿宋_GB2312" w:cs="Calibri"/>
                <w:b/>
                <w:sz w:val="28"/>
                <w:szCs w:val="32"/>
              </w:rPr>
              <w:t>教学效果</w:t>
            </w:r>
          </w:p>
        </w:tc>
        <w:tc>
          <w:tcPr>
            <w:tcW w:w="5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eastAsia="仿宋_GB2312" w:cs="Calibri"/>
                <w:sz w:val="28"/>
                <w:szCs w:val="32"/>
              </w:rPr>
            </w:pPr>
            <w:r>
              <w:rPr>
                <w:rFonts w:eastAsia="仿宋_GB2312" w:cs="Calibri"/>
                <w:sz w:val="28"/>
                <w:szCs w:val="32"/>
              </w:rPr>
              <w:t>注重思想理论教育和价值引领，让学生感觉“营养丰富味道又好”</w:t>
            </w:r>
            <w:r>
              <w:rPr>
                <w:rFonts w:hint="eastAsia" w:eastAsia="仿宋_GB2312" w:cs="Calibri"/>
                <w:sz w:val="28"/>
                <w:szCs w:val="32"/>
              </w:rPr>
              <w:t>；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eastAsia="仿宋_GB2312" w:cs="Calibri"/>
                <w:sz w:val="28"/>
                <w:szCs w:val="32"/>
              </w:rPr>
            </w:pPr>
            <w:r>
              <w:rPr>
                <w:rFonts w:eastAsia="仿宋_GB2312" w:cs="Calibri"/>
                <w:sz w:val="28"/>
                <w:szCs w:val="32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78" w:hRule="atLeast"/>
          <w:jc w:val="center"/>
        </w:trPr>
        <w:tc>
          <w:tcPr>
            <w:tcW w:w="181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eastAsia="仿宋_GB2312" w:cs="Calibri"/>
                <w:b/>
                <w:sz w:val="28"/>
                <w:szCs w:val="32"/>
              </w:rPr>
            </w:pPr>
          </w:p>
        </w:tc>
        <w:tc>
          <w:tcPr>
            <w:tcW w:w="5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eastAsia="仿宋_GB2312" w:cs="Calibri"/>
                <w:sz w:val="28"/>
                <w:szCs w:val="32"/>
              </w:rPr>
            </w:pPr>
            <w:r>
              <w:rPr>
                <w:rFonts w:eastAsia="仿宋_GB2312" w:cs="Calibri"/>
                <w:sz w:val="28"/>
                <w:szCs w:val="32"/>
              </w:rPr>
              <w:t>教学感染力强，学生抬头听课率高，课堂氛围好。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eastAsia="仿宋_GB2312" w:cs="Calibri"/>
                <w:sz w:val="28"/>
                <w:szCs w:val="32"/>
              </w:rPr>
            </w:pPr>
            <w:r>
              <w:rPr>
                <w:rFonts w:eastAsia="仿宋_GB2312" w:cs="Calibri"/>
                <w:sz w:val="28"/>
                <w:szCs w:val="32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79" w:hRule="atLeast"/>
          <w:jc w:val="center"/>
        </w:trPr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eastAsia="仿宋_GB2312" w:cs="Calibri"/>
                <w:b/>
                <w:sz w:val="28"/>
                <w:szCs w:val="32"/>
              </w:rPr>
            </w:pPr>
            <w:r>
              <w:rPr>
                <w:rFonts w:eastAsia="仿宋_GB2312" w:cs="Calibri"/>
                <w:b/>
                <w:sz w:val="28"/>
                <w:szCs w:val="32"/>
              </w:rPr>
              <w:t>教师素养</w:t>
            </w:r>
          </w:p>
        </w:tc>
        <w:tc>
          <w:tcPr>
            <w:tcW w:w="5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eastAsia="仿宋_GB2312" w:cs="Calibri"/>
                <w:sz w:val="28"/>
                <w:szCs w:val="32"/>
              </w:rPr>
            </w:pPr>
            <w:r>
              <w:rPr>
                <w:rFonts w:eastAsia="仿宋_GB2312" w:cs="Calibri"/>
                <w:sz w:val="28"/>
                <w:szCs w:val="32"/>
              </w:rPr>
              <w:t>教态大方，举止得体，精神饱满，教学投入；</w:t>
            </w:r>
          </w:p>
          <w:p>
            <w:pPr>
              <w:snapToGrid w:val="0"/>
              <w:rPr>
                <w:rFonts w:eastAsia="仿宋_GB2312" w:cs="Calibri"/>
                <w:sz w:val="28"/>
                <w:szCs w:val="32"/>
              </w:rPr>
            </w:pPr>
            <w:r>
              <w:rPr>
                <w:rFonts w:eastAsia="仿宋_GB2312" w:cs="Calibri"/>
                <w:sz w:val="28"/>
                <w:szCs w:val="32"/>
              </w:rPr>
              <w:t>思路清晰，逻辑严谨，综合素质高；个人教学特色突出。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eastAsia="仿宋_GB2312" w:cs="Calibri"/>
                <w:sz w:val="28"/>
                <w:szCs w:val="32"/>
              </w:rPr>
            </w:pPr>
            <w:r>
              <w:rPr>
                <w:rFonts w:eastAsia="仿宋_GB2312" w:cs="Calibri"/>
                <w:sz w:val="28"/>
                <w:szCs w:val="32"/>
              </w:rPr>
              <w:t>10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625"/>
    <w:rsid w:val="00596154"/>
    <w:rsid w:val="006C5E2B"/>
    <w:rsid w:val="00825C42"/>
    <w:rsid w:val="00E36625"/>
    <w:rsid w:val="69AD7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61</Words>
  <Characters>351</Characters>
  <Lines>2</Lines>
  <Paragraphs>1</Paragraphs>
  <TotalTime>1</TotalTime>
  <ScaleCrop>false</ScaleCrop>
  <LinksUpToDate>false</LinksUpToDate>
  <CharactersWithSpaces>411</CharactersWithSpaces>
  <Application>WPS Office_11.1.0.10463_F1E327BC-269C-435d-A152-05C5408002CA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2021-04-25T02:49:00Z</dcterms:created>
  <dc:creator>李肖楠</dc:creator>
  <cp:lastModifiedBy>郭超</cp:lastModifiedBy>
  <dcterms:modified xsi:type="dcterms:W3CDTF">2021-05-13T02:47:42Z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ICV">
    <vt:lpwstr>06C7118FC62847BA957307262C23DAA3</vt:lpwstr>
  </property>
</Properties>
</file>