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方正小标宋简体" w:hAnsi="黑体" w:eastAsia="方正小标宋简体" w:cs="黑体"/>
          <w:sz w:val="48"/>
          <w:szCs w:val="48"/>
        </w:rPr>
      </w:pPr>
    </w:p>
    <w:p>
      <w:pPr>
        <w:spacing w:line="360" w:lineRule="auto"/>
        <w:jc w:val="center"/>
        <w:rPr>
          <w:rFonts w:ascii="方正小标宋简体" w:hAnsi="黑体" w:eastAsia="方正小标宋简体" w:cs="黑体"/>
          <w:b w:val="0"/>
          <w:bCs/>
          <w:sz w:val="44"/>
          <w:szCs w:val="48"/>
        </w:rPr>
      </w:pPr>
      <w:bookmarkStart w:id="0" w:name="OLE_LINK7"/>
      <w:r>
        <w:rPr>
          <w:rFonts w:hint="eastAsia" w:ascii="方正小标宋简体" w:hAnsi="黑体" w:eastAsia="方正小标宋简体" w:cs="黑体"/>
          <w:b w:val="0"/>
          <w:bCs/>
          <w:sz w:val="44"/>
          <w:szCs w:val="48"/>
        </w:rPr>
        <w:t>西北农林科技大学会议费管理暂行办法</w:t>
      </w:r>
    </w:p>
    <w:bookmarkEnd w:id="0"/>
    <w:p>
      <w:pPr>
        <w:spacing w:line="360" w:lineRule="auto"/>
        <w:jc w:val="center"/>
        <w:rPr>
          <w:rFonts w:hint="eastAsia" w:ascii="仿宋" w:hAnsi="仿宋" w:eastAsia="仿宋" w:cs="仿宋"/>
          <w:sz w:val="32"/>
          <w:szCs w:val="32"/>
        </w:rPr>
      </w:pPr>
      <w:r>
        <w:rPr>
          <w:rFonts w:hint="eastAsia" w:ascii="仿宋" w:hAnsi="仿宋" w:eastAsia="仿宋" w:cs="仿宋"/>
          <w:sz w:val="32"/>
          <w:szCs w:val="32"/>
        </w:rPr>
        <w:t>（征求意见稿）</w:t>
      </w:r>
    </w:p>
    <w:p>
      <w:pPr>
        <w:spacing w:line="360" w:lineRule="auto"/>
        <w:jc w:val="center"/>
        <w:rPr>
          <w:rFonts w:ascii="仿宋" w:hAnsi="仿宋" w:eastAsia="仿宋" w:cs="仿宋"/>
          <w:sz w:val="32"/>
          <w:szCs w:val="32"/>
        </w:rPr>
      </w:pPr>
      <w:r>
        <w:rPr>
          <w:rFonts w:hint="eastAsia" w:ascii="仿宋" w:hAnsi="仿宋" w:eastAsia="仿宋" w:cs="仿宋"/>
          <w:sz w:val="32"/>
          <w:szCs w:val="32"/>
        </w:rPr>
        <w:t>2016年8月</w:t>
      </w:r>
      <w:r>
        <w:rPr>
          <w:rFonts w:hint="eastAsia" w:ascii="仿宋" w:hAnsi="仿宋" w:eastAsia="仿宋" w:cs="仿宋"/>
          <w:sz w:val="32"/>
          <w:szCs w:val="32"/>
          <w:lang w:val="en-US" w:eastAsia="zh-CN"/>
        </w:rPr>
        <w:t>23</w:t>
      </w:r>
      <w:bookmarkStart w:id="26" w:name="_GoBack"/>
      <w:bookmarkEnd w:id="26"/>
      <w:r>
        <w:rPr>
          <w:rFonts w:hint="eastAsia" w:ascii="仿宋" w:hAnsi="仿宋" w:eastAsia="仿宋" w:cs="仿宋"/>
          <w:sz w:val="32"/>
          <w:szCs w:val="32"/>
        </w:rPr>
        <w:t>日</w:t>
      </w:r>
    </w:p>
    <w:p>
      <w:pPr>
        <w:pStyle w:val="2"/>
        <w:rPr>
          <w:rFonts w:hint="eastAsia" w:ascii="黑体" w:hAnsi="黑体" w:eastAsia="黑体" w:cs="黑体"/>
          <w:b w:val="0"/>
          <w:bCs w:val="0"/>
        </w:rPr>
      </w:pPr>
      <w:r>
        <w:rPr>
          <w:rFonts w:hint="eastAsia" w:ascii="黑体" w:hAnsi="黑体" w:eastAsia="黑体" w:cs="黑体"/>
          <w:b w:val="0"/>
          <w:bCs w:val="0"/>
        </w:rPr>
        <w:t>第一章　总 则</w:t>
      </w:r>
    </w:p>
    <w:p>
      <w:pPr>
        <w:spacing w:line="360" w:lineRule="auto"/>
        <w:ind w:firstLine="643" w:firstLineChars="200"/>
        <w:rPr>
          <w:rFonts w:ascii="仿宋_GB2312" w:hAnsi="仿宋" w:eastAsia="仿宋_GB2312" w:cs="仿宋"/>
          <w:sz w:val="32"/>
          <w:szCs w:val="32"/>
        </w:rPr>
      </w:pPr>
      <w:r>
        <w:rPr>
          <w:rFonts w:hint="eastAsia" w:ascii="仿宋_GB2312" w:hAnsi="仿宋" w:eastAsia="仿宋_GB2312" w:cs="仿宋"/>
          <w:b/>
          <w:bCs/>
          <w:sz w:val="32"/>
          <w:szCs w:val="32"/>
        </w:rPr>
        <w:t>第一条</w:t>
      </w:r>
      <w:r>
        <w:rPr>
          <w:rFonts w:hint="eastAsia" w:ascii="仿宋" w:hAnsi="仿宋" w:eastAsia="仿宋" w:cs="仿宋"/>
          <w:sz w:val="32"/>
          <w:szCs w:val="32"/>
        </w:rPr>
        <w:t xml:space="preserve"> </w:t>
      </w:r>
      <w:r>
        <w:rPr>
          <w:rFonts w:hint="eastAsia" w:ascii="仿宋_GB2312" w:hAnsi="仿宋" w:eastAsia="仿宋_GB2312" w:cs="仿宋"/>
          <w:sz w:val="32"/>
          <w:szCs w:val="32"/>
        </w:rPr>
        <w:t>为进一步加强和规范学校会议费管理，提高会议效率和质量，节约会议经费开支，根据</w:t>
      </w:r>
      <w:bookmarkStart w:id="1" w:name="OLE_LINK23"/>
      <w:bookmarkStart w:id="2" w:name="OLE_LINK25"/>
      <w:bookmarkStart w:id="3" w:name="OLE_LINK26"/>
      <w:r>
        <w:rPr>
          <w:rFonts w:hint="eastAsia" w:ascii="仿宋_GB2312" w:hAnsi="仿宋_GB2312" w:eastAsia="仿宋_GB2312" w:cs="仿宋_GB2312"/>
          <w:sz w:val="32"/>
          <w:szCs w:val="32"/>
          <w:lang w:val="en-US" w:eastAsia="zh-CN"/>
        </w:rPr>
        <w:t>《</w:t>
      </w:r>
      <w:bookmarkStart w:id="4" w:name="OLE_LINK24"/>
      <w:r>
        <w:rPr>
          <w:rFonts w:hint="eastAsia" w:ascii="仿宋_GB2312" w:hAnsi="仿宋_GB2312" w:eastAsia="仿宋_GB2312" w:cs="仿宋_GB2312"/>
          <w:sz w:val="32"/>
          <w:szCs w:val="32"/>
          <w:lang w:val="en-US" w:eastAsia="zh-CN"/>
        </w:rPr>
        <w:t>中共中央办公厅、国务院办公厅关于进一步完善中央财政科研项</w:t>
      </w:r>
      <w:bookmarkEnd w:id="1"/>
      <w:r>
        <w:rPr>
          <w:rFonts w:hint="eastAsia" w:ascii="仿宋_GB2312" w:hAnsi="仿宋_GB2312" w:eastAsia="仿宋_GB2312" w:cs="仿宋_GB2312"/>
          <w:sz w:val="32"/>
          <w:szCs w:val="32"/>
          <w:lang w:val="en-US" w:eastAsia="zh-CN"/>
        </w:rPr>
        <w:t>目资金管理等政策的若干意见》（中办发</w:t>
      </w:r>
      <w:r>
        <w:rPr>
          <w:rFonts w:hint="eastAsia" w:ascii="仿宋_GB2312" w:hAnsi="仿宋" w:eastAsia="仿宋_GB2312" w:cs="仿宋"/>
          <w:bCs/>
          <w:sz w:val="32"/>
          <w:szCs w:val="32"/>
        </w:rPr>
        <w:t>〔201</w:t>
      </w:r>
      <w:r>
        <w:rPr>
          <w:rFonts w:hint="eastAsia" w:ascii="仿宋_GB2312" w:hAnsi="仿宋" w:eastAsia="仿宋_GB2312" w:cs="仿宋"/>
          <w:bCs/>
          <w:sz w:val="32"/>
          <w:szCs w:val="32"/>
          <w:lang w:val="en-US" w:eastAsia="zh-CN"/>
        </w:rPr>
        <w:t>6</w:t>
      </w:r>
      <w:r>
        <w:rPr>
          <w:rFonts w:hint="eastAsia" w:ascii="仿宋_GB2312" w:hAnsi="仿宋" w:eastAsia="仿宋_GB2312" w:cs="仿宋"/>
          <w:bCs/>
          <w:sz w:val="32"/>
          <w:szCs w:val="32"/>
        </w:rPr>
        <w:t>〕</w:t>
      </w:r>
      <w:r>
        <w:rPr>
          <w:rFonts w:hint="eastAsia" w:ascii="仿宋_GB2312" w:hAnsi="仿宋" w:eastAsia="仿宋_GB2312" w:cs="仿宋"/>
          <w:bCs/>
          <w:sz w:val="32"/>
          <w:szCs w:val="32"/>
          <w:lang w:val="en-US" w:eastAsia="zh-CN"/>
        </w:rPr>
        <w:t>50号</w:t>
      </w:r>
      <w:r>
        <w:rPr>
          <w:rFonts w:hint="eastAsia" w:ascii="仿宋_GB2312" w:hAnsi="仿宋_GB2312" w:eastAsia="仿宋_GB2312" w:cs="仿宋_GB2312"/>
          <w:sz w:val="32"/>
          <w:szCs w:val="32"/>
          <w:lang w:val="en-US" w:eastAsia="zh-CN"/>
        </w:rPr>
        <w:t>）</w:t>
      </w:r>
      <w:bookmarkEnd w:id="2"/>
      <w:bookmarkEnd w:id="4"/>
      <w:r>
        <w:rPr>
          <w:rFonts w:hint="eastAsia" w:ascii="仿宋_GB2312" w:hAnsi="仿宋_GB2312" w:eastAsia="仿宋_GB2312" w:cs="仿宋_GB2312"/>
          <w:sz w:val="32"/>
          <w:szCs w:val="32"/>
          <w:lang w:val="en-US" w:eastAsia="zh-CN"/>
        </w:rPr>
        <w:t>和《中央和国家机关会议费管理办法》（财行</w:t>
      </w:r>
      <w:r>
        <w:rPr>
          <w:rFonts w:hint="eastAsia" w:ascii="仿宋_GB2312" w:hAnsi="仿宋" w:eastAsia="仿宋_GB2312" w:cs="仿宋"/>
          <w:bCs/>
          <w:sz w:val="32"/>
          <w:szCs w:val="32"/>
        </w:rPr>
        <w:t>〔201</w:t>
      </w:r>
      <w:r>
        <w:rPr>
          <w:rFonts w:hint="eastAsia" w:ascii="仿宋_GB2312" w:hAnsi="仿宋" w:eastAsia="仿宋_GB2312" w:cs="仿宋"/>
          <w:bCs/>
          <w:sz w:val="32"/>
          <w:szCs w:val="32"/>
          <w:lang w:val="en-US" w:eastAsia="zh-CN"/>
        </w:rPr>
        <w:t>6</w:t>
      </w:r>
      <w:r>
        <w:rPr>
          <w:rFonts w:hint="eastAsia" w:ascii="仿宋_GB2312" w:hAnsi="仿宋" w:eastAsia="仿宋_GB2312" w:cs="仿宋"/>
          <w:bCs/>
          <w:sz w:val="32"/>
          <w:szCs w:val="32"/>
        </w:rPr>
        <w:t>〕</w:t>
      </w:r>
      <w:r>
        <w:rPr>
          <w:rFonts w:hint="eastAsia" w:ascii="仿宋_GB2312" w:hAnsi="仿宋" w:eastAsia="仿宋_GB2312" w:cs="仿宋"/>
          <w:bCs/>
          <w:sz w:val="32"/>
          <w:szCs w:val="32"/>
          <w:lang w:val="en-US" w:eastAsia="zh-CN"/>
        </w:rPr>
        <w:t>214号</w:t>
      </w:r>
      <w:r>
        <w:rPr>
          <w:rFonts w:hint="eastAsia" w:ascii="仿宋_GB2312" w:hAnsi="仿宋_GB2312" w:eastAsia="仿宋_GB2312" w:cs="仿宋_GB2312"/>
          <w:sz w:val="32"/>
          <w:szCs w:val="32"/>
          <w:lang w:val="en-US" w:eastAsia="zh-CN"/>
        </w:rPr>
        <w:t>）文件精神</w:t>
      </w:r>
      <w:bookmarkEnd w:id="3"/>
      <w:r>
        <w:rPr>
          <w:rFonts w:hint="eastAsia" w:ascii="仿宋_GB2312" w:hAnsi="仿宋" w:eastAsia="仿宋_GB2312" w:cs="仿宋"/>
          <w:sz w:val="32"/>
          <w:szCs w:val="32"/>
        </w:rPr>
        <w:t>，结合学校实际，制定本办法。　</w:t>
      </w:r>
    </w:p>
    <w:p>
      <w:pPr>
        <w:spacing w:line="360" w:lineRule="auto"/>
        <w:ind w:firstLine="643" w:firstLineChars="200"/>
        <w:rPr>
          <w:rFonts w:hint="eastAsia" w:ascii="仿宋_GB2312" w:hAnsi="仿宋" w:eastAsia="仿宋_GB2312" w:cs="仿宋"/>
          <w:sz w:val="32"/>
          <w:szCs w:val="32"/>
        </w:rPr>
      </w:pPr>
      <w:r>
        <w:rPr>
          <w:rFonts w:hint="eastAsia" w:ascii="仿宋_GB2312" w:hAnsi="仿宋" w:eastAsia="仿宋_GB2312" w:cs="仿宋"/>
          <w:b/>
          <w:bCs/>
          <w:sz w:val="32"/>
          <w:szCs w:val="32"/>
        </w:rPr>
        <w:t xml:space="preserve">第二条 </w:t>
      </w:r>
      <w:r>
        <w:rPr>
          <w:rFonts w:hint="eastAsia" w:ascii="仿宋_GB2312" w:hAnsi="仿宋" w:eastAsia="仿宋_GB2312" w:cs="仿宋"/>
          <w:sz w:val="32"/>
          <w:szCs w:val="32"/>
        </w:rPr>
        <w:t>本办法适用于学校</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lang w:val="en-US" w:eastAsia="zh-CN"/>
        </w:rPr>
        <w:t>含主办、承办</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lang w:val="en-US" w:eastAsia="zh-CN"/>
        </w:rPr>
        <w:t>的各类会议、论坛，包括国内业务会议、国内业务会议、在华举办国际会议</w:t>
      </w:r>
      <w:r>
        <w:rPr>
          <w:rFonts w:hint="eastAsia" w:ascii="仿宋_GB2312" w:hAnsi="仿宋" w:eastAsia="仿宋_GB2312" w:cs="仿宋"/>
          <w:sz w:val="32"/>
          <w:szCs w:val="32"/>
        </w:rPr>
        <w:t>。</w:t>
      </w:r>
    </w:p>
    <w:p>
      <w:pPr>
        <w:spacing w:line="360" w:lineRule="auto"/>
        <w:ind w:firstLine="640" w:firstLineChars="200"/>
        <w:rPr>
          <w:rFonts w:ascii="仿宋_GB2312" w:hAnsi="仿宋" w:eastAsia="仿宋_GB2312" w:cs="仿宋"/>
          <w:sz w:val="32"/>
          <w:szCs w:val="32"/>
        </w:rPr>
      </w:pPr>
      <w:r>
        <w:rPr>
          <w:rFonts w:hint="eastAsia" w:ascii="仿宋_GB2312" w:hAnsi="仿宋" w:eastAsia="仿宋_GB2312" w:cs="仿宋"/>
          <w:sz w:val="32"/>
          <w:szCs w:val="32"/>
        </w:rPr>
        <w:t>国内业务会议：指因教学、科研、推广</w:t>
      </w:r>
      <w:r>
        <w:rPr>
          <w:rFonts w:hint="eastAsia" w:ascii="仿宋_GB2312" w:hAnsi="仿宋" w:eastAsia="仿宋_GB2312" w:cs="仿宋"/>
          <w:sz w:val="32"/>
          <w:szCs w:val="32"/>
          <w:lang w:val="en-US" w:eastAsia="zh-CN"/>
        </w:rPr>
        <w:t>等</w:t>
      </w:r>
      <w:r>
        <w:rPr>
          <w:rFonts w:hint="eastAsia" w:ascii="仿宋_GB2312" w:hAnsi="仿宋" w:eastAsia="仿宋_GB2312" w:cs="仿宋"/>
          <w:sz w:val="32"/>
          <w:szCs w:val="32"/>
        </w:rPr>
        <w:t>业务需要举办的业务性会议，</w:t>
      </w:r>
      <w:r>
        <w:rPr>
          <w:rFonts w:hint="eastAsia" w:ascii="仿宋_GB2312" w:hAnsi="仿宋" w:eastAsia="仿宋_GB2312" w:cs="仿宋"/>
          <w:sz w:val="32"/>
          <w:szCs w:val="32"/>
          <w:lang w:val="en-US" w:eastAsia="zh-CN"/>
        </w:rPr>
        <w:t>包括学术会议、学术论坛、研讨会、评审会、座谈会、项目验收会、项目答辩会</w:t>
      </w:r>
      <w:bookmarkStart w:id="5" w:name="OLE_LINK28"/>
      <w:r>
        <w:rPr>
          <w:rFonts w:hint="eastAsia" w:ascii="仿宋_GB2312" w:hAnsi="仿宋" w:eastAsia="仿宋_GB2312" w:cs="仿宋"/>
          <w:sz w:val="32"/>
          <w:szCs w:val="32"/>
          <w:lang w:val="en-US" w:eastAsia="zh-CN"/>
        </w:rPr>
        <w:t>等</w:t>
      </w:r>
      <w:bookmarkEnd w:id="5"/>
      <w:r>
        <w:rPr>
          <w:rFonts w:hint="eastAsia" w:ascii="仿宋_GB2312" w:hAnsi="仿宋" w:eastAsia="仿宋_GB2312" w:cs="仿宋"/>
          <w:sz w:val="32"/>
          <w:szCs w:val="32"/>
          <w:lang w:val="en-US" w:eastAsia="zh-CN"/>
        </w:rPr>
        <w:t>（不包括本科生、研究生论文答辩会）</w:t>
      </w:r>
      <w:bookmarkStart w:id="6" w:name="OLE_LINK29"/>
      <w:r>
        <w:rPr>
          <w:rFonts w:hint="eastAsia" w:ascii="仿宋_GB2312" w:hAnsi="仿宋" w:eastAsia="仿宋_GB2312" w:cs="仿宋"/>
          <w:sz w:val="32"/>
          <w:szCs w:val="32"/>
          <w:lang w:val="en-US" w:eastAsia="zh-CN"/>
        </w:rPr>
        <w:t>。</w:t>
      </w:r>
      <w:bookmarkEnd w:id="6"/>
    </w:p>
    <w:p>
      <w:pPr>
        <w:spacing w:line="360" w:lineRule="auto"/>
        <w:ind w:firstLine="640" w:firstLineChars="200"/>
        <w:rPr>
          <w:rFonts w:hint="eastAsia" w:ascii="仿宋_GB2312" w:hAnsi="仿宋" w:eastAsia="仿宋_GB2312" w:cs="仿宋"/>
          <w:sz w:val="32"/>
          <w:szCs w:val="32"/>
          <w:lang w:val="en-US" w:eastAsia="zh-CN"/>
        </w:rPr>
      </w:pPr>
      <w:r>
        <w:rPr>
          <w:rFonts w:hint="eastAsia" w:ascii="仿宋_GB2312" w:hAnsi="仿宋" w:eastAsia="仿宋_GB2312" w:cs="仿宋"/>
          <w:sz w:val="32"/>
          <w:szCs w:val="32"/>
        </w:rPr>
        <w:t>国内管理会议：</w:t>
      </w:r>
      <w:r>
        <w:rPr>
          <w:rFonts w:hint="eastAsia" w:ascii="仿宋_GB2312" w:hAnsi="仿宋" w:eastAsia="仿宋_GB2312" w:cs="仿宋"/>
          <w:sz w:val="32"/>
          <w:szCs w:val="32"/>
          <w:lang w:val="en-US" w:eastAsia="zh-CN"/>
        </w:rPr>
        <w:t>指除国内业务会议之外的其他国内会议。</w:t>
      </w:r>
    </w:p>
    <w:p>
      <w:pPr>
        <w:spacing w:line="360" w:lineRule="auto"/>
        <w:ind w:firstLine="640" w:firstLineChars="200"/>
        <w:rPr>
          <w:rFonts w:hint="eastAsia" w:ascii="仿宋_GB2312" w:hAnsi="仿宋" w:eastAsia="仿宋_GB2312" w:cs="仿宋"/>
          <w:sz w:val="32"/>
          <w:szCs w:val="32"/>
        </w:rPr>
      </w:pPr>
      <w:bookmarkStart w:id="7" w:name="OLE_LINK4"/>
      <w:bookmarkStart w:id="8" w:name="OLE_LINK3"/>
      <w:r>
        <w:rPr>
          <w:rFonts w:hint="eastAsia" w:ascii="仿宋_GB2312" w:hAnsi="仿宋" w:eastAsia="仿宋_GB2312" w:cs="仿宋"/>
          <w:sz w:val="32"/>
          <w:szCs w:val="32"/>
        </w:rPr>
        <w:t>在华举办国际会议：</w:t>
      </w:r>
      <w:bookmarkEnd w:id="7"/>
      <w:bookmarkEnd w:id="8"/>
      <w:r>
        <w:rPr>
          <w:rFonts w:hint="eastAsia" w:ascii="仿宋_GB2312" w:hAnsi="仿宋" w:eastAsia="仿宋_GB2312" w:cs="仿宋"/>
          <w:sz w:val="32"/>
          <w:szCs w:val="32"/>
        </w:rPr>
        <w:t>指经过上级外事部门批准的、在我国境内举办的国际会议</w:t>
      </w:r>
      <w:r>
        <w:rPr>
          <w:rFonts w:hint="eastAsia" w:ascii="仿宋" w:hAnsi="仿宋" w:eastAsia="仿宋" w:cs="仿宋"/>
          <w:sz w:val="32"/>
          <w:szCs w:val="32"/>
        </w:rPr>
        <w:t>。</w:t>
      </w:r>
    </w:p>
    <w:p>
      <w:pPr>
        <w:spacing w:line="360" w:lineRule="auto"/>
        <w:ind w:firstLine="643" w:firstLineChars="200"/>
        <w:rPr>
          <w:rFonts w:ascii="仿宋_GB2312" w:hAnsi="仿宋" w:eastAsia="仿宋_GB2312" w:cs="仿宋"/>
          <w:sz w:val="32"/>
          <w:szCs w:val="32"/>
        </w:rPr>
      </w:pPr>
      <w:r>
        <w:rPr>
          <w:rFonts w:hint="eastAsia" w:ascii="仿宋_GB2312" w:hAnsi="仿宋" w:eastAsia="仿宋_GB2312" w:cs="仿宋"/>
          <w:b/>
          <w:bCs/>
          <w:sz w:val="32"/>
          <w:szCs w:val="32"/>
        </w:rPr>
        <w:t xml:space="preserve">第三条 </w:t>
      </w:r>
      <w:r>
        <w:rPr>
          <w:rFonts w:hint="eastAsia" w:ascii="仿宋_GB2312" w:hAnsi="仿宋" w:eastAsia="仿宋_GB2312" w:cs="仿宋"/>
          <w:sz w:val="32"/>
          <w:szCs w:val="32"/>
        </w:rPr>
        <w:t>举办会议应当坚持实事求是、精简高效、厉行节约的原则，严格控制会议数量，严格执行会议费开支范围和标准。</w:t>
      </w:r>
    </w:p>
    <w:p>
      <w:pPr>
        <w:ind w:firstLine="643" w:firstLineChars="200"/>
        <w:rPr>
          <w:rFonts w:ascii="仿宋_GB2312" w:hAnsi="仿宋" w:eastAsia="仿宋_GB2312" w:cs="仿宋"/>
          <w:sz w:val="32"/>
          <w:szCs w:val="32"/>
        </w:rPr>
      </w:pPr>
      <w:r>
        <w:rPr>
          <w:rFonts w:hint="eastAsia" w:ascii="仿宋_GB2312" w:hAnsi="仿宋" w:eastAsia="仿宋_GB2312" w:cs="仿宋"/>
          <w:b/>
          <w:bCs/>
          <w:sz w:val="32"/>
          <w:szCs w:val="32"/>
        </w:rPr>
        <w:t>第四条</w:t>
      </w:r>
      <w:r>
        <w:rPr>
          <w:rFonts w:hint="eastAsia" w:ascii="方正小标宋简体" w:hAnsi="仿宋" w:eastAsia="方正小标宋简体" w:cs="仿宋"/>
          <w:b/>
          <w:bCs/>
          <w:sz w:val="32"/>
          <w:szCs w:val="32"/>
        </w:rPr>
        <w:t xml:space="preserve"> </w:t>
      </w:r>
      <w:r>
        <w:rPr>
          <w:rFonts w:hint="eastAsia" w:ascii="仿宋_GB2312" w:hAnsi="仿宋" w:eastAsia="仿宋_GB2312" w:cs="仿宋"/>
          <w:sz w:val="32"/>
          <w:szCs w:val="32"/>
        </w:rPr>
        <w:t>会议举办者是会议费的直接责任人，对会议费使用的合规性、合理性、真实性和相关性承担直接责任，</w:t>
      </w:r>
      <w:r>
        <w:rPr>
          <w:rFonts w:hint="eastAsia" w:ascii="仿宋_GB2312" w:hAnsi="仿宋" w:eastAsia="仿宋_GB2312" w:cs="仿宋"/>
          <w:sz w:val="32"/>
          <w:szCs w:val="32"/>
          <w:lang w:val="en-US" w:eastAsia="zh-CN"/>
        </w:rPr>
        <w:t>其所在单位的主要负责人</w:t>
      </w:r>
      <w:r>
        <w:rPr>
          <w:rFonts w:hint="eastAsia" w:ascii="仿宋_GB2312" w:hAnsi="仿宋" w:eastAsia="仿宋_GB2312" w:cs="仿宋"/>
          <w:sz w:val="32"/>
          <w:szCs w:val="32"/>
        </w:rPr>
        <w:t>对所举办的会议承担</w:t>
      </w:r>
      <w:r>
        <w:rPr>
          <w:rFonts w:hint="eastAsia" w:ascii="仿宋_GB2312" w:hAnsi="仿宋" w:eastAsia="仿宋_GB2312" w:cs="仿宋"/>
          <w:sz w:val="32"/>
          <w:szCs w:val="32"/>
          <w:lang w:val="en-US" w:eastAsia="zh-CN"/>
        </w:rPr>
        <w:t>领导和</w:t>
      </w:r>
      <w:r>
        <w:rPr>
          <w:rFonts w:hint="eastAsia" w:ascii="仿宋_GB2312" w:hAnsi="仿宋" w:eastAsia="仿宋_GB2312" w:cs="仿宋"/>
          <w:sz w:val="32"/>
          <w:szCs w:val="32"/>
        </w:rPr>
        <w:t>监管责任。</w:t>
      </w:r>
    </w:p>
    <w:p>
      <w:pPr>
        <w:ind w:firstLine="643" w:firstLineChars="200"/>
        <w:rPr>
          <w:rFonts w:ascii="仿宋_GB2312" w:hAnsi="仿宋" w:eastAsia="仿宋_GB2312" w:cs="仿宋"/>
          <w:sz w:val="32"/>
          <w:szCs w:val="32"/>
        </w:rPr>
      </w:pPr>
      <w:r>
        <w:rPr>
          <w:rFonts w:hint="eastAsia" w:ascii="仿宋_GB2312" w:hAnsi="仿宋" w:eastAsia="仿宋_GB2312" w:cs="仿宋"/>
          <w:b/>
          <w:bCs/>
          <w:sz w:val="32"/>
          <w:szCs w:val="32"/>
        </w:rPr>
        <w:t xml:space="preserve">第五条 </w:t>
      </w:r>
      <w:r>
        <w:rPr>
          <w:rFonts w:hint="eastAsia" w:ascii="仿宋_GB2312" w:hAnsi="仿宋" w:eastAsia="仿宋_GB2312" w:cs="仿宋"/>
          <w:sz w:val="32"/>
          <w:szCs w:val="32"/>
        </w:rPr>
        <w:t>实行会议公示制度，各单位应当将非涉密会议的名称、主要内容、参会人数、经费开支等情况在单位内部公示，</w:t>
      </w:r>
      <w:r>
        <w:rPr>
          <w:rFonts w:hint="eastAsia" w:ascii="仿宋_GB2312" w:hAnsi="仿宋" w:eastAsia="仿宋_GB2312" w:cs="仿宋"/>
          <w:sz w:val="32"/>
          <w:szCs w:val="32"/>
          <w:lang w:val="en-US" w:eastAsia="zh-CN"/>
        </w:rPr>
        <w:t>接受</w:t>
      </w:r>
      <w:r>
        <w:rPr>
          <w:rFonts w:hint="eastAsia" w:ascii="仿宋_GB2312" w:hAnsi="仿宋" w:eastAsia="仿宋_GB2312" w:cs="仿宋"/>
          <w:sz w:val="32"/>
          <w:szCs w:val="32"/>
        </w:rPr>
        <w:t>广大教职工的监督。</w:t>
      </w:r>
    </w:p>
    <w:p>
      <w:pPr>
        <w:pStyle w:val="2"/>
        <w:jc w:val="center"/>
        <w:rPr>
          <w:rFonts w:hint="eastAsia" w:ascii="黑体" w:hAnsi="黑体" w:eastAsia="黑体" w:cs="黑体"/>
          <w:b w:val="0"/>
          <w:bCs w:val="0"/>
        </w:rPr>
      </w:pPr>
      <w:bookmarkStart w:id="9" w:name="OLE_LINK8"/>
      <w:r>
        <w:rPr>
          <w:rFonts w:hint="eastAsia" w:ascii="黑体" w:hAnsi="黑体" w:eastAsia="黑体" w:cs="黑体"/>
          <w:b w:val="0"/>
          <w:bCs w:val="0"/>
        </w:rPr>
        <w:t>第二章 会议的审批和管理</w:t>
      </w:r>
    </w:p>
    <w:bookmarkEnd w:id="9"/>
    <w:p>
      <w:pPr>
        <w:spacing w:line="360" w:lineRule="auto"/>
        <w:ind w:firstLine="643" w:firstLineChars="200"/>
        <w:rPr>
          <w:rFonts w:ascii="仿宋_GB2312" w:hAnsi="仿宋" w:eastAsia="仿宋_GB2312" w:cs="仿宋"/>
          <w:sz w:val="32"/>
          <w:szCs w:val="32"/>
        </w:rPr>
      </w:pPr>
      <w:r>
        <w:rPr>
          <w:rFonts w:hint="eastAsia" w:ascii="仿宋_GB2312" w:hAnsi="仿宋" w:eastAsia="仿宋_GB2312" w:cs="仿宋"/>
          <w:b/>
          <w:bCs/>
          <w:sz w:val="32"/>
          <w:szCs w:val="32"/>
        </w:rPr>
        <w:t>第</w:t>
      </w:r>
      <w:r>
        <w:rPr>
          <w:rFonts w:hint="eastAsia" w:ascii="仿宋_GB2312" w:hAnsi="仿宋" w:eastAsia="仿宋_GB2312" w:cs="仿宋"/>
          <w:b/>
          <w:bCs/>
          <w:sz w:val="32"/>
          <w:szCs w:val="32"/>
          <w:lang w:val="en-US" w:eastAsia="zh-CN"/>
        </w:rPr>
        <w:t>六</w:t>
      </w:r>
      <w:r>
        <w:rPr>
          <w:rFonts w:hint="eastAsia" w:ascii="仿宋_GB2312" w:hAnsi="仿宋" w:eastAsia="仿宋_GB2312" w:cs="仿宋"/>
          <w:b/>
          <w:bCs/>
          <w:sz w:val="32"/>
          <w:szCs w:val="32"/>
        </w:rPr>
        <w:t xml:space="preserve">条 </w:t>
      </w:r>
      <w:r>
        <w:rPr>
          <w:rFonts w:hint="eastAsia" w:ascii="仿宋_GB2312" w:hAnsi="仿宋" w:eastAsia="仿宋_GB2312" w:cs="仿宋"/>
          <w:b w:val="0"/>
          <w:bCs w:val="0"/>
          <w:sz w:val="32"/>
          <w:szCs w:val="32"/>
          <w:lang w:val="en-US" w:eastAsia="zh-CN"/>
        </w:rPr>
        <w:t>严格会议审批程序，并严格控制会议数量、会期、规模，</w:t>
      </w:r>
      <w:r>
        <w:rPr>
          <w:rFonts w:hint="eastAsia" w:ascii="仿宋_GB2312" w:hAnsi="仿宋" w:eastAsia="仿宋_GB2312" w:cs="仿宋"/>
          <w:sz w:val="32"/>
          <w:szCs w:val="32"/>
        </w:rPr>
        <w:t>由会议举办者填写《</w:t>
      </w:r>
      <w:bookmarkStart w:id="10" w:name="OLE_LINK11"/>
      <w:bookmarkStart w:id="11" w:name="OLE_LINK12"/>
      <w:r>
        <w:rPr>
          <w:rFonts w:hint="eastAsia" w:ascii="仿宋_GB2312" w:hAnsi="仿宋" w:eastAsia="仿宋_GB2312" w:cs="仿宋"/>
          <w:sz w:val="32"/>
          <w:szCs w:val="32"/>
        </w:rPr>
        <w:t>西北农林科技大学举办会议申请表</w:t>
      </w:r>
      <w:bookmarkEnd w:id="10"/>
      <w:bookmarkEnd w:id="11"/>
      <w:r>
        <w:rPr>
          <w:rFonts w:hint="eastAsia" w:ascii="仿宋_GB2312" w:hAnsi="仿宋" w:eastAsia="仿宋_GB2312" w:cs="仿宋"/>
          <w:sz w:val="32"/>
          <w:szCs w:val="32"/>
        </w:rPr>
        <w:t>》，说明会议名称</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rPr>
        <w:t>类别</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rPr>
        <w:t>时间</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rPr>
        <w:t>地点、</w:t>
      </w:r>
      <w:r>
        <w:rPr>
          <w:rFonts w:hint="eastAsia" w:ascii="仿宋_GB2312" w:hAnsi="仿宋" w:eastAsia="仿宋_GB2312" w:cs="仿宋"/>
          <w:sz w:val="32"/>
          <w:szCs w:val="32"/>
          <w:lang w:val="en-US" w:eastAsia="zh-CN"/>
        </w:rPr>
        <w:t>人数</w:t>
      </w:r>
      <w:r>
        <w:rPr>
          <w:rFonts w:hint="eastAsia" w:ascii="仿宋_GB2312" w:hAnsi="仿宋" w:eastAsia="仿宋_GB2312" w:cs="仿宋"/>
          <w:sz w:val="32"/>
          <w:szCs w:val="32"/>
        </w:rPr>
        <w:t>、</w:t>
      </w:r>
      <w:r>
        <w:rPr>
          <w:rFonts w:hint="eastAsia" w:ascii="仿宋_GB2312" w:hAnsi="仿宋" w:eastAsia="仿宋_GB2312" w:cs="仿宋"/>
          <w:sz w:val="32"/>
          <w:szCs w:val="32"/>
          <w:lang w:val="en-US" w:eastAsia="zh-CN"/>
        </w:rPr>
        <w:t>主要内容</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rPr>
        <w:t>会议经费预算及</w:t>
      </w:r>
      <w:r>
        <w:rPr>
          <w:rFonts w:hint="eastAsia" w:ascii="仿宋_GB2312" w:hAnsi="仿宋" w:eastAsia="仿宋_GB2312" w:cs="仿宋"/>
          <w:sz w:val="32"/>
          <w:szCs w:val="32"/>
          <w:lang w:val="en-US" w:eastAsia="zh-CN"/>
        </w:rPr>
        <w:t>经费来源</w:t>
      </w:r>
      <w:r>
        <w:rPr>
          <w:rFonts w:hint="eastAsia" w:ascii="仿宋_GB2312" w:hAnsi="仿宋" w:eastAsia="仿宋_GB2312" w:cs="仿宋"/>
          <w:sz w:val="32"/>
          <w:szCs w:val="32"/>
        </w:rPr>
        <w:t>等，并按照以下程序进行审批：</w:t>
      </w:r>
    </w:p>
    <w:p>
      <w:pPr>
        <w:spacing w:line="360" w:lineRule="auto"/>
        <w:ind w:firstLine="640" w:firstLineChars="200"/>
        <w:rPr>
          <w:rFonts w:hint="eastAsia" w:ascii="仿宋_GB2312" w:hAnsi="仿宋" w:eastAsia="仿宋_GB2312" w:cs="仿宋"/>
          <w:sz w:val="32"/>
          <w:szCs w:val="32"/>
          <w:lang w:val="en-US" w:eastAsia="zh-CN"/>
        </w:rPr>
      </w:pPr>
      <w:r>
        <w:rPr>
          <w:rFonts w:hint="eastAsia" w:ascii="仿宋_GB2312" w:hAnsi="仿宋" w:eastAsia="仿宋_GB2312" w:cs="仿宋"/>
          <w:sz w:val="32"/>
          <w:szCs w:val="32"/>
        </w:rPr>
        <w:t>（一）</w:t>
      </w:r>
      <w:bookmarkStart w:id="12" w:name="OLE_LINK5"/>
      <w:bookmarkStart w:id="13" w:name="OLE_LINK6"/>
      <w:r>
        <w:rPr>
          <w:rFonts w:hint="eastAsia" w:ascii="仿宋_GB2312" w:hAnsi="仿宋" w:eastAsia="仿宋_GB2312" w:cs="仿宋"/>
          <w:sz w:val="32"/>
          <w:szCs w:val="32"/>
          <w:lang w:val="en-US" w:eastAsia="zh-CN"/>
        </w:rPr>
        <w:t>以学校名义举办</w:t>
      </w:r>
      <w:bookmarkStart w:id="14" w:name="OLE_LINK22"/>
      <w:r>
        <w:rPr>
          <w:rFonts w:hint="eastAsia" w:ascii="仿宋_GB2312" w:hAnsi="仿宋" w:eastAsia="仿宋_GB2312" w:cs="仿宋"/>
          <w:sz w:val="32"/>
          <w:szCs w:val="32"/>
          <w:lang w:val="en-US" w:eastAsia="zh-CN"/>
        </w:rPr>
        <w:t>（含主办、承办）</w:t>
      </w:r>
      <w:bookmarkEnd w:id="14"/>
      <w:r>
        <w:rPr>
          <w:rFonts w:hint="eastAsia" w:ascii="仿宋_GB2312" w:hAnsi="仿宋" w:eastAsia="仿宋_GB2312" w:cs="仿宋"/>
          <w:sz w:val="32"/>
          <w:szCs w:val="32"/>
          <w:lang w:val="en-US" w:eastAsia="zh-CN"/>
        </w:rPr>
        <w:t>的会议，由举办单位提出申请，</w:t>
      </w:r>
      <w:bookmarkEnd w:id="12"/>
      <w:bookmarkEnd w:id="13"/>
      <w:r>
        <w:rPr>
          <w:rFonts w:hint="eastAsia" w:ascii="仿宋_GB2312" w:hAnsi="仿宋" w:eastAsia="仿宋_GB2312" w:cs="仿宋"/>
          <w:sz w:val="32"/>
          <w:szCs w:val="32"/>
          <w:lang w:val="en-US" w:eastAsia="zh-CN"/>
        </w:rPr>
        <w:t>分管校领导审批。</w:t>
      </w:r>
    </w:p>
    <w:p>
      <w:pPr>
        <w:spacing w:line="360" w:lineRule="auto"/>
        <w:ind w:firstLine="640" w:firstLineChars="200"/>
        <w:rPr>
          <w:rFonts w:ascii="仿宋_GB2312" w:hAnsi="仿宋" w:eastAsia="仿宋_GB2312" w:cs="仿宋"/>
          <w:sz w:val="32"/>
          <w:szCs w:val="32"/>
        </w:rPr>
      </w:pPr>
      <w:r>
        <w:rPr>
          <w:rFonts w:hint="eastAsia" w:ascii="仿宋_GB2312" w:hAnsi="仿宋" w:eastAsia="仿宋_GB2312" w:cs="仿宋"/>
          <w:sz w:val="32"/>
          <w:szCs w:val="32"/>
        </w:rPr>
        <w:t>（二）</w:t>
      </w:r>
      <w:r>
        <w:rPr>
          <w:rFonts w:hint="eastAsia" w:ascii="仿宋_GB2312" w:hAnsi="仿宋" w:eastAsia="仿宋_GB2312" w:cs="仿宋"/>
          <w:sz w:val="32"/>
          <w:szCs w:val="32"/>
          <w:lang w:val="en-US" w:eastAsia="zh-CN"/>
        </w:rPr>
        <w:t>以校内各二级单位、各类科技项目（课题）组名义举办（含主办、承办）的会议，</w:t>
      </w:r>
      <w:r>
        <w:rPr>
          <w:rFonts w:hint="eastAsia" w:ascii="仿宋_GB2312" w:hAnsi="仿宋" w:eastAsia="仿宋_GB2312" w:cs="仿宋"/>
          <w:sz w:val="32"/>
          <w:szCs w:val="32"/>
        </w:rPr>
        <w:t>由举办者提出申请，</w:t>
      </w:r>
      <w:r>
        <w:rPr>
          <w:rFonts w:hint="eastAsia" w:ascii="仿宋_GB2312" w:hAnsi="仿宋" w:eastAsia="仿宋_GB2312" w:cs="仿宋"/>
          <w:sz w:val="32"/>
          <w:szCs w:val="32"/>
          <w:lang w:val="en-US" w:eastAsia="zh-CN"/>
        </w:rPr>
        <w:t>所在单位</w:t>
      </w:r>
      <w:r>
        <w:rPr>
          <w:rFonts w:hint="eastAsia" w:ascii="仿宋_GB2312" w:hAnsi="仿宋" w:eastAsia="仿宋_GB2312" w:cs="仿宋"/>
          <w:sz w:val="32"/>
          <w:szCs w:val="32"/>
        </w:rPr>
        <w:t>审批。</w:t>
      </w:r>
    </w:p>
    <w:p>
      <w:pPr>
        <w:spacing w:line="360" w:lineRule="auto"/>
        <w:ind w:firstLine="640" w:firstLineChars="200"/>
        <w:rPr>
          <w:rFonts w:ascii="仿宋_GB2312" w:hAnsi="仿宋" w:eastAsia="仿宋_GB2312" w:cs="仿宋"/>
          <w:sz w:val="32"/>
          <w:szCs w:val="32"/>
        </w:rPr>
      </w:pPr>
      <w:r>
        <w:rPr>
          <w:rFonts w:hint="eastAsia" w:ascii="仿宋_GB2312" w:hAnsi="仿宋" w:eastAsia="仿宋_GB2312" w:cs="仿宋"/>
          <w:sz w:val="32"/>
          <w:szCs w:val="32"/>
        </w:rPr>
        <w:t>（三）</w:t>
      </w:r>
      <w:bookmarkStart w:id="15" w:name="OLE_LINK27"/>
      <w:r>
        <w:rPr>
          <w:rFonts w:hint="eastAsia" w:ascii="仿宋_GB2312" w:hAnsi="仿宋" w:eastAsia="仿宋_GB2312" w:cs="仿宋"/>
          <w:sz w:val="32"/>
          <w:szCs w:val="32"/>
        </w:rPr>
        <w:t>在华举办国际会议，经举办单位和学校业务主管部门、外事部门审</w:t>
      </w:r>
      <w:r>
        <w:rPr>
          <w:rFonts w:hint="eastAsia" w:ascii="仿宋_GB2312" w:hAnsi="仿宋" w:eastAsia="仿宋_GB2312" w:cs="仿宋"/>
          <w:sz w:val="32"/>
          <w:szCs w:val="32"/>
          <w:lang w:val="en-US" w:eastAsia="zh-CN"/>
        </w:rPr>
        <w:t>核</w:t>
      </w:r>
      <w:r>
        <w:rPr>
          <w:rFonts w:hint="eastAsia" w:ascii="仿宋_GB2312" w:hAnsi="仿宋" w:eastAsia="仿宋_GB2312" w:cs="仿宋"/>
          <w:sz w:val="32"/>
          <w:szCs w:val="32"/>
        </w:rPr>
        <w:t>后提交校长办公会</w:t>
      </w:r>
      <w:r>
        <w:rPr>
          <w:rFonts w:hint="eastAsia" w:ascii="仿宋_GB2312" w:hAnsi="仿宋" w:eastAsia="仿宋_GB2312" w:cs="仿宋"/>
          <w:sz w:val="32"/>
          <w:szCs w:val="32"/>
          <w:lang w:val="en-US" w:eastAsia="zh-CN"/>
        </w:rPr>
        <w:t>审议，审议通过后报上级外事部门审批</w:t>
      </w:r>
      <w:r>
        <w:rPr>
          <w:rFonts w:hint="eastAsia" w:ascii="仿宋_GB2312" w:hAnsi="仿宋" w:eastAsia="仿宋_GB2312" w:cs="仿宋"/>
          <w:sz w:val="32"/>
          <w:szCs w:val="32"/>
        </w:rPr>
        <w:t>。</w:t>
      </w:r>
      <w:bookmarkEnd w:id="15"/>
    </w:p>
    <w:p>
      <w:pPr>
        <w:spacing w:line="360" w:lineRule="auto"/>
        <w:ind w:firstLine="643" w:firstLineChars="200"/>
        <w:rPr>
          <w:rFonts w:ascii="仿宋_GB2312" w:hAnsi="仿宋" w:eastAsia="仿宋_GB2312" w:cs="仿宋"/>
          <w:sz w:val="32"/>
          <w:szCs w:val="32"/>
        </w:rPr>
      </w:pPr>
      <w:r>
        <w:rPr>
          <w:rFonts w:hint="eastAsia" w:ascii="仿宋_GB2312" w:hAnsi="仿宋" w:eastAsia="仿宋_GB2312" w:cs="仿宋"/>
          <w:b/>
          <w:bCs/>
          <w:sz w:val="32"/>
          <w:szCs w:val="32"/>
        </w:rPr>
        <w:t>第</w:t>
      </w:r>
      <w:r>
        <w:rPr>
          <w:rFonts w:hint="eastAsia" w:ascii="仿宋_GB2312" w:hAnsi="仿宋" w:eastAsia="仿宋_GB2312" w:cs="仿宋"/>
          <w:b/>
          <w:bCs/>
          <w:sz w:val="32"/>
          <w:szCs w:val="32"/>
          <w:lang w:val="en-US" w:eastAsia="zh-CN"/>
        </w:rPr>
        <w:t>七</w:t>
      </w:r>
      <w:r>
        <w:rPr>
          <w:rFonts w:hint="eastAsia" w:ascii="仿宋_GB2312" w:hAnsi="仿宋" w:eastAsia="仿宋_GB2312" w:cs="仿宋"/>
          <w:b/>
          <w:bCs/>
          <w:sz w:val="32"/>
          <w:szCs w:val="32"/>
        </w:rPr>
        <w:t xml:space="preserve">条 </w:t>
      </w:r>
      <w:r>
        <w:rPr>
          <w:rFonts w:hint="eastAsia" w:ascii="仿宋" w:hAnsi="仿宋" w:eastAsia="仿宋" w:cs="仿宋"/>
          <w:sz w:val="32"/>
          <w:szCs w:val="32"/>
        </w:rPr>
        <w:t>要积极</w:t>
      </w:r>
      <w:r>
        <w:rPr>
          <w:rFonts w:hint="eastAsia" w:ascii="仿宋_GB2312" w:hAnsi="仿宋" w:eastAsia="仿宋_GB2312" w:cs="仿宋"/>
          <w:sz w:val="32"/>
          <w:szCs w:val="32"/>
        </w:rPr>
        <w:t>改进会议形式，充分运用电视电话、网络视频等现代信息技术手段，降低会议成本，提高会议效率。能通过电话、部门协调、发文等形式解决的问题，一律不召开会议。</w:t>
      </w:r>
    </w:p>
    <w:p>
      <w:pPr>
        <w:spacing w:line="360" w:lineRule="auto"/>
        <w:ind w:firstLine="643" w:firstLineChars="200"/>
        <w:rPr>
          <w:rFonts w:ascii="仿宋_GB2312" w:hAnsi="仿宋" w:eastAsia="仿宋_GB2312" w:cs="仿宋"/>
          <w:sz w:val="32"/>
          <w:szCs w:val="32"/>
        </w:rPr>
      </w:pPr>
      <w:r>
        <w:rPr>
          <w:rFonts w:hint="eastAsia" w:ascii="仿宋_GB2312" w:hAnsi="仿宋" w:eastAsia="仿宋_GB2312" w:cs="仿宋"/>
          <w:b/>
          <w:bCs/>
          <w:sz w:val="32"/>
          <w:szCs w:val="32"/>
        </w:rPr>
        <w:t>第</w:t>
      </w:r>
      <w:r>
        <w:rPr>
          <w:rFonts w:hint="eastAsia" w:ascii="仿宋_GB2312" w:hAnsi="仿宋" w:eastAsia="仿宋_GB2312" w:cs="仿宋"/>
          <w:b/>
          <w:bCs/>
          <w:sz w:val="32"/>
          <w:szCs w:val="32"/>
          <w:lang w:val="en-US" w:eastAsia="zh-CN"/>
        </w:rPr>
        <w:t>八</w:t>
      </w:r>
      <w:r>
        <w:rPr>
          <w:rFonts w:hint="eastAsia" w:ascii="仿宋_GB2312" w:hAnsi="仿宋" w:eastAsia="仿宋_GB2312" w:cs="仿宋"/>
          <w:b/>
          <w:bCs/>
          <w:sz w:val="32"/>
          <w:szCs w:val="32"/>
        </w:rPr>
        <w:t xml:space="preserve">条 </w:t>
      </w:r>
      <w:r>
        <w:rPr>
          <w:rFonts w:hint="eastAsia" w:ascii="仿宋_GB2312" w:hAnsi="仿宋" w:eastAsia="仿宋_GB2312" w:cs="仿宋"/>
          <w:sz w:val="32"/>
          <w:szCs w:val="32"/>
        </w:rPr>
        <w:t>举办会议应当优先选择校内召开，校内不具备承办该会议条件确需在校外举办的，应根据经济性、便利性原则选择会议地点，国内会议原则安排在四星级及以下宾馆。不得到党中央、国务院明令禁止的风景名胜区召开会议。</w:t>
      </w:r>
    </w:p>
    <w:p>
      <w:pPr>
        <w:spacing w:line="360" w:lineRule="auto"/>
        <w:ind w:firstLine="643" w:firstLineChars="200"/>
        <w:rPr>
          <w:rFonts w:ascii="仿宋_GB2312" w:hAnsi="仿宋" w:eastAsia="仿宋_GB2312" w:cs="仿宋"/>
          <w:sz w:val="32"/>
          <w:szCs w:val="32"/>
        </w:rPr>
      </w:pPr>
      <w:r>
        <w:rPr>
          <w:rFonts w:hint="eastAsia" w:ascii="仿宋_GB2312" w:hAnsi="仿宋" w:eastAsia="仿宋_GB2312" w:cs="仿宋"/>
          <w:b/>
          <w:bCs/>
          <w:sz w:val="32"/>
          <w:szCs w:val="32"/>
        </w:rPr>
        <w:t>第</w:t>
      </w:r>
      <w:r>
        <w:rPr>
          <w:rFonts w:hint="eastAsia" w:ascii="仿宋_GB2312" w:hAnsi="仿宋" w:eastAsia="仿宋_GB2312" w:cs="仿宋"/>
          <w:b/>
          <w:bCs/>
          <w:sz w:val="32"/>
          <w:szCs w:val="32"/>
          <w:lang w:val="en-US" w:eastAsia="zh-CN"/>
        </w:rPr>
        <w:t>九</w:t>
      </w:r>
      <w:r>
        <w:rPr>
          <w:rFonts w:hint="eastAsia" w:ascii="仿宋_GB2312" w:hAnsi="仿宋" w:eastAsia="仿宋_GB2312" w:cs="仿宋"/>
          <w:b/>
          <w:bCs/>
          <w:sz w:val="32"/>
          <w:szCs w:val="32"/>
        </w:rPr>
        <w:t>条</w:t>
      </w:r>
      <w:r>
        <w:rPr>
          <w:rFonts w:hint="eastAsia" w:ascii="仿宋_GB2312" w:hAnsi="仿宋" w:eastAsia="仿宋_GB2312" w:cs="仿宋"/>
          <w:sz w:val="32"/>
          <w:szCs w:val="32"/>
        </w:rPr>
        <w:t xml:space="preserve"> 除必须住会的情况外，会议召开地代表和会议工作人员原则上不安排住宿。</w:t>
      </w:r>
    </w:p>
    <w:p>
      <w:pPr>
        <w:pStyle w:val="2"/>
        <w:rPr>
          <w:rFonts w:hint="eastAsia" w:ascii="黑体" w:hAnsi="黑体" w:eastAsia="黑体" w:cs="黑体"/>
          <w:b w:val="0"/>
          <w:bCs w:val="0"/>
        </w:rPr>
      </w:pPr>
      <w:bookmarkStart w:id="16" w:name="OLE_LINK9"/>
      <w:r>
        <w:rPr>
          <w:rFonts w:hint="eastAsia" w:ascii="黑体" w:hAnsi="黑体" w:eastAsia="黑体" w:cs="黑体"/>
          <w:b w:val="0"/>
          <w:bCs w:val="0"/>
        </w:rPr>
        <w:t>第三章　会议费开支范围、标准和报销管理</w:t>
      </w:r>
    </w:p>
    <w:bookmarkEnd w:id="16"/>
    <w:p>
      <w:pPr>
        <w:spacing w:line="360" w:lineRule="auto"/>
        <w:ind w:firstLine="643" w:firstLineChars="200"/>
        <w:rPr>
          <w:rFonts w:ascii="仿宋_GB2312" w:hAnsi="仿宋" w:eastAsia="仿宋_GB2312" w:cs="仿宋"/>
          <w:sz w:val="32"/>
          <w:szCs w:val="32"/>
        </w:rPr>
      </w:pPr>
      <w:r>
        <w:rPr>
          <w:rFonts w:hint="eastAsia" w:ascii="仿宋_GB2312" w:hAnsi="仿宋" w:eastAsia="仿宋_GB2312" w:cs="仿宋"/>
          <w:b/>
          <w:bCs/>
          <w:sz w:val="32"/>
          <w:szCs w:val="32"/>
        </w:rPr>
        <w:t>第十条</w:t>
      </w:r>
      <w:r>
        <w:rPr>
          <w:rFonts w:hint="eastAsia" w:ascii="仿宋" w:hAnsi="仿宋" w:eastAsia="仿宋" w:cs="仿宋"/>
          <w:sz w:val="32"/>
          <w:szCs w:val="32"/>
        </w:rPr>
        <w:t xml:space="preserve"> </w:t>
      </w:r>
      <w:r>
        <w:rPr>
          <w:rFonts w:hint="eastAsia" w:ascii="仿宋_GB2312" w:hAnsi="仿宋" w:eastAsia="仿宋_GB2312" w:cs="仿宋"/>
          <w:sz w:val="32"/>
          <w:szCs w:val="32"/>
        </w:rPr>
        <w:t>会议费开支范围包括会议住宿费、伙食费、其他费用等综合定额部分和交通费、同声传译翻译费、同声传译设备租金等</w:t>
      </w:r>
      <w:r>
        <w:rPr>
          <w:rFonts w:hint="eastAsia" w:ascii="仿宋_GB2312" w:hAnsi="仿宋" w:eastAsia="仿宋_GB2312" w:cs="仿宋"/>
          <w:sz w:val="32"/>
          <w:szCs w:val="32"/>
          <w:lang w:val="en-US" w:eastAsia="zh-CN"/>
        </w:rPr>
        <w:t>非</w:t>
      </w:r>
      <w:r>
        <w:rPr>
          <w:rFonts w:hint="eastAsia" w:ascii="仿宋_GB2312" w:hAnsi="仿宋" w:eastAsia="仿宋_GB2312" w:cs="仿宋"/>
          <w:sz w:val="32"/>
          <w:szCs w:val="32"/>
        </w:rPr>
        <w:t>定额部分。</w:t>
      </w:r>
    </w:p>
    <w:p>
      <w:pPr>
        <w:spacing w:line="360" w:lineRule="auto"/>
        <w:ind w:firstLine="643" w:firstLineChars="200"/>
        <w:rPr>
          <w:rFonts w:ascii="仿宋" w:hAnsi="仿宋" w:eastAsia="仿宋" w:cs="仿宋"/>
          <w:sz w:val="32"/>
          <w:szCs w:val="32"/>
        </w:rPr>
      </w:pPr>
      <w:r>
        <w:rPr>
          <w:rFonts w:hint="eastAsia" w:ascii="仿宋_GB2312" w:hAnsi="仿宋" w:eastAsia="仿宋_GB2312" w:cs="仿宋"/>
          <w:b/>
          <w:bCs/>
          <w:sz w:val="32"/>
          <w:szCs w:val="32"/>
        </w:rPr>
        <w:t>第十</w:t>
      </w:r>
      <w:r>
        <w:rPr>
          <w:rFonts w:hint="eastAsia" w:ascii="仿宋_GB2312" w:hAnsi="仿宋" w:eastAsia="仿宋_GB2312" w:cs="仿宋"/>
          <w:b/>
          <w:bCs/>
          <w:sz w:val="32"/>
          <w:szCs w:val="32"/>
          <w:lang w:val="en-US" w:eastAsia="zh-CN"/>
        </w:rPr>
        <w:t>一</w:t>
      </w:r>
      <w:r>
        <w:rPr>
          <w:rFonts w:hint="eastAsia" w:ascii="仿宋_GB2312" w:hAnsi="仿宋" w:eastAsia="仿宋_GB2312" w:cs="仿宋"/>
          <w:b/>
          <w:bCs/>
          <w:sz w:val="32"/>
          <w:szCs w:val="32"/>
        </w:rPr>
        <w:t>条</w:t>
      </w:r>
      <w:r>
        <w:rPr>
          <w:rFonts w:hint="eastAsia" w:ascii="仿宋_GB2312" w:hAnsi="仿宋" w:eastAsia="仿宋_GB2312" w:cs="仿宋"/>
          <w:b/>
          <w:bCs/>
          <w:sz w:val="32"/>
          <w:szCs w:val="32"/>
          <w:lang w:val="en-US" w:eastAsia="zh-CN"/>
        </w:rPr>
        <w:t xml:space="preserve"> </w:t>
      </w:r>
      <w:r>
        <w:rPr>
          <w:rFonts w:hint="eastAsia" w:ascii="仿宋_GB2312" w:hAnsi="仿宋" w:eastAsia="仿宋_GB2312" w:cs="仿宋"/>
          <w:sz w:val="32"/>
          <w:szCs w:val="32"/>
        </w:rPr>
        <w:t xml:space="preserve">会议费开支实行综合定额控制，各项费用之间可以调剂使用。会议费综合定额标准如下： </w:t>
      </w:r>
    </w:p>
    <w:p>
      <w:pPr>
        <w:spacing w:line="360" w:lineRule="auto"/>
        <w:ind w:firstLine="480" w:firstLineChars="200"/>
        <w:jc w:val="center"/>
        <w:rPr>
          <w:rFonts w:hint="eastAsia" w:ascii="仿宋" w:hAnsi="仿宋" w:eastAsia="仿宋" w:cs="仿宋"/>
          <w:sz w:val="24"/>
          <w:szCs w:val="32"/>
        </w:rPr>
      </w:pPr>
      <w:r>
        <w:rPr>
          <w:rFonts w:hint="eastAsia" w:ascii="仿宋" w:hAnsi="仿宋" w:eastAsia="仿宋" w:cs="仿宋"/>
          <w:sz w:val="24"/>
          <w:szCs w:val="32"/>
        </w:rPr>
        <w:t xml:space="preserve">                                               </w:t>
      </w:r>
    </w:p>
    <w:p>
      <w:pPr>
        <w:spacing w:line="360" w:lineRule="auto"/>
        <w:ind w:firstLine="480" w:firstLineChars="200"/>
        <w:jc w:val="center"/>
        <w:rPr>
          <w:rFonts w:hint="eastAsia" w:ascii="仿宋" w:hAnsi="仿宋" w:eastAsia="仿宋" w:cs="仿宋"/>
          <w:sz w:val="24"/>
          <w:szCs w:val="32"/>
        </w:rPr>
      </w:pPr>
    </w:p>
    <w:p>
      <w:pPr>
        <w:spacing w:line="360" w:lineRule="auto"/>
        <w:ind w:firstLine="480" w:firstLineChars="200"/>
        <w:jc w:val="center"/>
        <w:rPr>
          <w:rFonts w:hint="eastAsia" w:ascii="仿宋" w:hAnsi="仿宋" w:eastAsia="仿宋" w:cs="仿宋"/>
          <w:sz w:val="24"/>
          <w:szCs w:val="32"/>
        </w:rPr>
      </w:pPr>
    </w:p>
    <w:p>
      <w:pPr>
        <w:spacing w:line="360" w:lineRule="auto"/>
        <w:ind w:firstLine="480" w:firstLineChars="200"/>
        <w:jc w:val="center"/>
        <w:rPr>
          <w:rFonts w:ascii="仿宋" w:hAnsi="仿宋" w:eastAsia="仿宋" w:cs="仿宋"/>
          <w:sz w:val="24"/>
          <w:szCs w:val="32"/>
        </w:rPr>
      </w:pPr>
      <w:r>
        <w:rPr>
          <w:rFonts w:hint="eastAsia" w:ascii="仿宋" w:hAnsi="仿宋" w:eastAsia="仿宋" w:cs="仿宋"/>
          <w:sz w:val="24"/>
          <w:szCs w:val="32"/>
        </w:rPr>
        <w:t xml:space="preserve"> </w:t>
      </w:r>
      <w:r>
        <w:rPr>
          <w:rFonts w:hint="eastAsia" w:ascii="仿宋" w:hAnsi="仿宋" w:eastAsia="仿宋" w:cs="仿宋"/>
          <w:sz w:val="24"/>
          <w:szCs w:val="32"/>
          <w:lang w:val="en-US" w:eastAsia="zh-CN"/>
        </w:rPr>
        <w:t xml:space="preserve">                                     </w:t>
      </w:r>
      <w:r>
        <w:rPr>
          <w:rFonts w:hint="eastAsia" w:ascii="仿宋" w:hAnsi="仿宋" w:eastAsia="仿宋" w:cs="仿宋"/>
          <w:sz w:val="24"/>
          <w:szCs w:val="32"/>
        </w:rPr>
        <w:t>单位:元/人.天</w:t>
      </w:r>
    </w:p>
    <w:tbl>
      <w:tblPr>
        <w:tblStyle w:val="11"/>
        <w:tblW w:w="8278" w:type="dxa"/>
        <w:jc w:val="center"/>
        <w:tblInd w:w="-10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42"/>
        <w:gridCol w:w="1655"/>
        <w:gridCol w:w="1280"/>
        <w:gridCol w:w="1760"/>
        <w:gridCol w:w="13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24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 w:hAnsi="仿宋" w:eastAsia="仿宋" w:cs="仿宋"/>
                <w:sz w:val="24"/>
                <w:szCs w:val="21"/>
              </w:rPr>
            </w:pPr>
            <w:r>
              <w:rPr>
                <w:rFonts w:hint="eastAsia" w:ascii="仿宋" w:hAnsi="仿宋" w:eastAsia="仿宋" w:cs="仿宋"/>
                <w:sz w:val="24"/>
                <w:szCs w:val="21"/>
              </w:rPr>
              <w:t>会议类别</w:t>
            </w:r>
          </w:p>
        </w:tc>
        <w:tc>
          <w:tcPr>
            <w:tcW w:w="165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 w:hAnsi="仿宋" w:eastAsia="仿宋" w:cs="仿宋"/>
                <w:sz w:val="24"/>
                <w:szCs w:val="21"/>
              </w:rPr>
            </w:pPr>
            <w:r>
              <w:rPr>
                <w:rFonts w:hint="eastAsia" w:ascii="仿宋" w:hAnsi="仿宋" w:eastAsia="仿宋" w:cs="仿宋"/>
                <w:sz w:val="24"/>
                <w:szCs w:val="21"/>
              </w:rPr>
              <w:t>住宿费</w:t>
            </w:r>
          </w:p>
        </w:tc>
        <w:tc>
          <w:tcPr>
            <w:tcW w:w="12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 w:hAnsi="仿宋" w:eastAsia="仿宋" w:cs="仿宋"/>
                <w:sz w:val="24"/>
                <w:szCs w:val="21"/>
              </w:rPr>
            </w:pPr>
            <w:r>
              <w:rPr>
                <w:rFonts w:hint="eastAsia" w:ascii="仿宋" w:hAnsi="仿宋" w:eastAsia="仿宋" w:cs="仿宋"/>
                <w:sz w:val="24"/>
                <w:szCs w:val="21"/>
              </w:rPr>
              <w:t>伙食费</w:t>
            </w:r>
          </w:p>
        </w:tc>
        <w:tc>
          <w:tcPr>
            <w:tcW w:w="176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 w:hAnsi="仿宋" w:eastAsia="仿宋" w:cs="仿宋"/>
                <w:sz w:val="24"/>
                <w:szCs w:val="21"/>
              </w:rPr>
            </w:pPr>
            <w:r>
              <w:rPr>
                <w:rFonts w:hint="eastAsia" w:ascii="仿宋" w:hAnsi="仿宋" w:eastAsia="仿宋" w:cs="仿宋"/>
                <w:sz w:val="24"/>
                <w:szCs w:val="21"/>
              </w:rPr>
              <w:t>其他费用</w:t>
            </w:r>
          </w:p>
        </w:tc>
        <w:tc>
          <w:tcPr>
            <w:tcW w:w="134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 w:hAnsi="仿宋" w:eastAsia="仿宋" w:cs="仿宋"/>
                <w:sz w:val="24"/>
                <w:szCs w:val="21"/>
              </w:rPr>
            </w:pPr>
            <w:r>
              <w:rPr>
                <w:rFonts w:hint="eastAsia" w:ascii="仿宋" w:hAnsi="仿宋" w:eastAsia="仿宋" w:cs="仿宋"/>
                <w:sz w:val="24"/>
                <w:szCs w:val="21"/>
              </w:rPr>
              <w:t>合　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24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 w:hAnsi="仿宋" w:eastAsia="仿宋" w:cs="仿宋"/>
                <w:sz w:val="24"/>
                <w:szCs w:val="21"/>
              </w:rPr>
            </w:pPr>
            <w:r>
              <w:rPr>
                <w:rFonts w:hint="eastAsia" w:ascii="仿宋" w:hAnsi="仿宋" w:eastAsia="仿宋" w:cs="仿宋"/>
                <w:sz w:val="24"/>
                <w:szCs w:val="21"/>
              </w:rPr>
              <w:t>国内管理会议</w:t>
            </w:r>
          </w:p>
        </w:tc>
        <w:tc>
          <w:tcPr>
            <w:tcW w:w="165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sz w:val="24"/>
                <w:szCs w:val="21"/>
                <w:lang w:eastAsia="zh-CN"/>
              </w:rPr>
            </w:pPr>
            <w:r>
              <w:rPr>
                <w:rFonts w:hint="eastAsia" w:ascii="仿宋" w:hAnsi="仿宋" w:eastAsia="仿宋" w:cs="仿宋"/>
                <w:sz w:val="24"/>
                <w:szCs w:val="21"/>
                <w:lang w:val="en-US" w:eastAsia="zh-CN"/>
              </w:rPr>
              <w:t>340</w:t>
            </w:r>
          </w:p>
        </w:tc>
        <w:tc>
          <w:tcPr>
            <w:tcW w:w="12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sz w:val="24"/>
                <w:szCs w:val="21"/>
                <w:lang w:eastAsia="zh-CN"/>
              </w:rPr>
            </w:pPr>
            <w:r>
              <w:rPr>
                <w:rFonts w:hint="eastAsia" w:ascii="仿宋" w:hAnsi="仿宋" w:eastAsia="仿宋" w:cs="仿宋"/>
                <w:sz w:val="24"/>
                <w:szCs w:val="21"/>
                <w:lang w:val="en-US" w:eastAsia="zh-CN"/>
              </w:rPr>
              <w:t>130</w:t>
            </w:r>
          </w:p>
        </w:tc>
        <w:tc>
          <w:tcPr>
            <w:tcW w:w="1760"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rPr>
                <w:rFonts w:ascii="仿宋" w:hAnsi="仿宋" w:eastAsia="仿宋" w:cs="仿宋"/>
                <w:sz w:val="24"/>
                <w:szCs w:val="21"/>
              </w:rPr>
            </w:pPr>
            <w:r>
              <w:rPr>
                <w:rFonts w:hint="eastAsia" w:ascii="仿宋" w:hAnsi="仿宋" w:eastAsia="仿宋" w:cs="仿宋"/>
                <w:sz w:val="24"/>
                <w:szCs w:val="21"/>
              </w:rPr>
              <w:t>80</w:t>
            </w:r>
          </w:p>
        </w:tc>
        <w:tc>
          <w:tcPr>
            <w:tcW w:w="134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sz w:val="24"/>
                <w:szCs w:val="21"/>
                <w:lang w:eastAsia="zh-CN"/>
              </w:rPr>
            </w:pPr>
            <w:r>
              <w:rPr>
                <w:rFonts w:hint="eastAsia" w:ascii="仿宋" w:hAnsi="仿宋" w:eastAsia="仿宋" w:cs="仿宋"/>
                <w:sz w:val="24"/>
                <w:szCs w:val="21"/>
                <w:lang w:val="en-US" w:eastAsia="zh-CN"/>
              </w:rPr>
              <w:t>550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24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 w:hAnsi="仿宋" w:eastAsia="仿宋" w:cs="仿宋"/>
                <w:sz w:val="24"/>
                <w:szCs w:val="21"/>
              </w:rPr>
            </w:pPr>
            <w:r>
              <w:rPr>
                <w:rFonts w:hint="eastAsia" w:ascii="仿宋" w:hAnsi="仿宋" w:eastAsia="仿宋" w:cs="仿宋"/>
                <w:sz w:val="24"/>
                <w:szCs w:val="21"/>
              </w:rPr>
              <w:t>国内业务会议</w:t>
            </w:r>
          </w:p>
        </w:tc>
        <w:tc>
          <w:tcPr>
            <w:tcW w:w="165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 w:hAnsi="仿宋" w:eastAsia="仿宋" w:cs="仿宋"/>
                <w:sz w:val="24"/>
                <w:szCs w:val="21"/>
              </w:rPr>
            </w:pPr>
            <w:r>
              <w:rPr>
                <w:rFonts w:hint="eastAsia" w:ascii="仿宋" w:hAnsi="仿宋" w:eastAsia="仿宋" w:cs="仿宋"/>
                <w:sz w:val="24"/>
                <w:szCs w:val="21"/>
              </w:rPr>
              <w:t>500</w:t>
            </w:r>
          </w:p>
        </w:tc>
        <w:tc>
          <w:tcPr>
            <w:tcW w:w="12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 w:hAnsi="仿宋" w:eastAsia="仿宋" w:cs="仿宋"/>
                <w:sz w:val="24"/>
                <w:szCs w:val="21"/>
              </w:rPr>
            </w:pPr>
            <w:r>
              <w:rPr>
                <w:rFonts w:hint="eastAsia" w:ascii="仿宋" w:hAnsi="仿宋" w:eastAsia="仿宋" w:cs="仿宋"/>
                <w:sz w:val="24"/>
                <w:szCs w:val="21"/>
              </w:rPr>
              <w:t>150</w:t>
            </w:r>
          </w:p>
        </w:tc>
        <w:tc>
          <w:tcPr>
            <w:tcW w:w="1760"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rPr>
                <w:rFonts w:ascii="仿宋" w:hAnsi="仿宋" w:eastAsia="仿宋" w:cs="仿宋"/>
                <w:sz w:val="24"/>
                <w:szCs w:val="21"/>
              </w:rPr>
            </w:pPr>
            <w:r>
              <w:rPr>
                <w:rFonts w:hint="eastAsia" w:ascii="仿宋" w:hAnsi="仿宋" w:eastAsia="仿宋" w:cs="仿宋"/>
                <w:sz w:val="24"/>
                <w:szCs w:val="21"/>
              </w:rPr>
              <w:t>100</w:t>
            </w:r>
          </w:p>
        </w:tc>
        <w:tc>
          <w:tcPr>
            <w:tcW w:w="134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 w:hAnsi="仿宋" w:eastAsia="仿宋" w:cs="仿宋"/>
                <w:sz w:val="24"/>
                <w:szCs w:val="21"/>
              </w:rPr>
            </w:pPr>
            <w:r>
              <w:rPr>
                <w:rFonts w:hint="eastAsia" w:ascii="仿宋" w:hAnsi="仿宋" w:eastAsia="仿宋" w:cs="仿宋"/>
                <w:sz w:val="24"/>
                <w:szCs w:val="21"/>
              </w:rPr>
              <w:t>750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24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 w:hAnsi="仿宋" w:eastAsia="仿宋" w:cs="仿宋"/>
                <w:sz w:val="24"/>
                <w:szCs w:val="21"/>
              </w:rPr>
            </w:pPr>
            <w:r>
              <w:rPr>
                <w:rFonts w:hint="eastAsia" w:ascii="仿宋" w:hAnsi="仿宋" w:eastAsia="仿宋" w:cs="仿宋"/>
                <w:sz w:val="24"/>
                <w:szCs w:val="21"/>
              </w:rPr>
              <w:t>在华举办国际会议</w:t>
            </w:r>
          </w:p>
        </w:tc>
        <w:tc>
          <w:tcPr>
            <w:tcW w:w="165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 w:hAnsi="仿宋" w:eastAsia="仿宋" w:cs="仿宋"/>
                <w:sz w:val="24"/>
                <w:szCs w:val="21"/>
              </w:rPr>
            </w:pPr>
            <w:r>
              <w:rPr>
                <w:rFonts w:hint="eastAsia" w:ascii="仿宋" w:hAnsi="仿宋" w:eastAsia="仿宋" w:cs="仿宋"/>
                <w:sz w:val="24"/>
                <w:szCs w:val="21"/>
              </w:rPr>
              <w:t>600</w:t>
            </w:r>
          </w:p>
        </w:tc>
        <w:tc>
          <w:tcPr>
            <w:tcW w:w="12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 w:hAnsi="仿宋" w:eastAsia="仿宋" w:cs="仿宋"/>
                <w:sz w:val="24"/>
                <w:szCs w:val="21"/>
              </w:rPr>
            </w:pPr>
            <w:r>
              <w:rPr>
                <w:rFonts w:hint="eastAsia" w:ascii="仿宋" w:hAnsi="仿宋" w:eastAsia="仿宋" w:cs="仿宋"/>
                <w:sz w:val="24"/>
                <w:szCs w:val="21"/>
              </w:rPr>
              <w:t>300</w:t>
            </w:r>
          </w:p>
        </w:tc>
        <w:tc>
          <w:tcPr>
            <w:tcW w:w="1760"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rPr>
                <w:rFonts w:ascii="仿宋" w:hAnsi="仿宋" w:eastAsia="仿宋" w:cs="仿宋"/>
                <w:sz w:val="24"/>
                <w:szCs w:val="21"/>
              </w:rPr>
            </w:pPr>
            <w:r>
              <w:rPr>
                <w:rFonts w:hint="eastAsia" w:ascii="仿宋" w:hAnsi="仿宋" w:eastAsia="仿宋" w:cs="仿宋"/>
                <w:sz w:val="24"/>
                <w:szCs w:val="21"/>
              </w:rPr>
              <w:t>100</w:t>
            </w:r>
          </w:p>
        </w:tc>
        <w:tc>
          <w:tcPr>
            <w:tcW w:w="134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 w:hAnsi="仿宋" w:eastAsia="仿宋" w:cs="仿宋"/>
                <w:sz w:val="24"/>
                <w:szCs w:val="21"/>
              </w:rPr>
            </w:pPr>
            <w:r>
              <w:rPr>
                <w:rFonts w:hint="eastAsia" w:ascii="仿宋" w:hAnsi="仿宋" w:eastAsia="仿宋" w:cs="仿宋"/>
                <w:sz w:val="24"/>
                <w:szCs w:val="21"/>
              </w:rPr>
              <w:t>1000</w:t>
            </w:r>
          </w:p>
        </w:tc>
      </w:tr>
    </w:tbl>
    <w:p>
      <w:pPr>
        <w:snapToGrid w:val="0"/>
        <w:spacing w:line="360" w:lineRule="auto"/>
        <w:ind w:firstLine="570"/>
        <w:rPr>
          <w:rFonts w:ascii="仿宋_GB2312" w:hAnsi="宋体" w:eastAsia="仿宋_GB2312" w:cs="仿宋"/>
          <w:sz w:val="11"/>
          <w:szCs w:val="32"/>
        </w:rPr>
      </w:pPr>
    </w:p>
    <w:p>
      <w:pPr>
        <w:snapToGrid w:val="0"/>
        <w:spacing w:line="360" w:lineRule="auto"/>
        <w:ind w:firstLine="570"/>
        <w:rPr>
          <w:rFonts w:ascii="仿宋_GB2312" w:hAnsi="宋体" w:eastAsia="仿宋_GB2312" w:cs="仿宋"/>
          <w:sz w:val="32"/>
          <w:szCs w:val="32"/>
        </w:rPr>
      </w:pPr>
      <w:r>
        <w:rPr>
          <w:rFonts w:hint="eastAsia" w:ascii="仿宋_GB2312" w:hAnsi="宋体" w:eastAsia="仿宋_GB2312" w:cs="仿宋"/>
          <w:sz w:val="32"/>
          <w:szCs w:val="32"/>
        </w:rPr>
        <w:t>（一）综合定额里的其他费用包括会议室租金、文件印刷费、办公文具、医药费等。</w:t>
      </w:r>
    </w:p>
    <w:p>
      <w:pPr>
        <w:snapToGrid w:val="0"/>
        <w:spacing w:line="360" w:lineRule="auto"/>
        <w:ind w:firstLine="570"/>
        <w:rPr>
          <w:rFonts w:ascii="仿宋_GB2312" w:hAnsi="宋体" w:eastAsia="仿宋_GB2312" w:cs="仿宋"/>
          <w:sz w:val="32"/>
          <w:szCs w:val="32"/>
        </w:rPr>
      </w:pPr>
      <w:r>
        <w:rPr>
          <w:rFonts w:hint="eastAsia" w:ascii="仿宋_GB2312" w:hAnsi="宋体" w:eastAsia="仿宋_GB2312" w:cs="仿宋"/>
          <w:sz w:val="32"/>
          <w:szCs w:val="32"/>
        </w:rPr>
        <w:t>（二）不安排住宿的会议，综合定额按照扣除住宿费后的标准</w:t>
      </w:r>
      <w:r>
        <w:rPr>
          <w:rFonts w:hint="eastAsia" w:ascii="仿宋_GB2312" w:hAnsi="宋体" w:eastAsia="仿宋_GB2312" w:cs="仿宋"/>
          <w:sz w:val="32"/>
          <w:szCs w:val="32"/>
          <w:lang w:val="en-US" w:eastAsia="zh-CN"/>
        </w:rPr>
        <w:t>执行</w:t>
      </w:r>
      <w:r>
        <w:rPr>
          <w:rFonts w:hint="eastAsia" w:ascii="仿宋_GB2312" w:hAnsi="宋体" w:eastAsia="仿宋_GB2312" w:cs="仿宋"/>
          <w:sz w:val="32"/>
          <w:szCs w:val="32"/>
        </w:rPr>
        <w:t>，</w:t>
      </w:r>
      <w:bookmarkStart w:id="17" w:name="OLE_LINK13"/>
      <w:r>
        <w:rPr>
          <w:rFonts w:hint="eastAsia" w:ascii="仿宋_GB2312" w:hAnsi="宋体" w:eastAsia="仿宋_GB2312" w:cs="仿宋"/>
          <w:sz w:val="32"/>
          <w:szCs w:val="32"/>
          <w:lang w:val="en-US" w:eastAsia="zh-CN"/>
        </w:rPr>
        <w:t>各项费用之间可</w:t>
      </w:r>
      <w:r>
        <w:rPr>
          <w:rFonts w:hint="eastAsia" w:ascii="仿宋_GB2312" w:hAnsi="宋体" w:eastAsia="仿宋_GB2312" w:cs="仿宋"/>
          <w:sz w:val="32"/>
          <w:szCs w:val="32"/>
        </w:rPr>
        <w:t>调剂使用</w:t>
      </w:r>
      <w:bookmarkEnd w:id="17"/>
      <w:r>
        <w:rPr>
          <w:rFonts w:hint="eastAsia" w:ascii="仿宋_GB2312" w:hAnsi="宋体" w:eastAsia="仿宋_GB2312" w:cs="仿宋"/>
          <w:sz w:val="32"/>
          <w:szCs w:val="32"/>
        </w:rPr>
        <w:t>；不安排就餐的会议，综合定额按照扣除伙食费后的标准</w:t>
      </w:r>
      <w:r>
        <w:rPr>
          <w:rFonts w:hint="eastAsia" w:ascii="仿宋_GB2312" w:hAnsi="宋体" w:eastAsia="仿宋_GB2312" w:cs="仿宋"/>
          <w:sz w:val="32"/>
          <w:szCs w:val="32"/>
          <w:lang w:val="en-US" w:eastAsia="zh-CN"/>
        </w:rPr>
        <w:t>执行</w:t>
      </w:r>
      <w:r>
        <w:rPr>
          <w:rFonts w:hint="eastAsia" w:ascii="仿宋_GB2312" w:hAnsi="宋体" w:eastAsia="仿宋_GB2312" w:cs="仿宋"/>
          <w:sz w:val="32"/>
          <w:szCs w:val="32"/>
        </w:rPr>
        <w:t>，</w:t>
      </w:r>
      <w:r>
        <w:rPr>
          <w:rFonts w:hint="eastAsia" w:ascii="仿宋_GB2312" w:hAnsi="宋体" w:eastAsia="仿宋_GB2312" w:cs="仿宋"/>
          <w:sz w:val="32"/>
          <w:szCs w:val="32"/>
          <w:lang w:val="en-US" w:eastAsia="zh-CN"/>
        </w:rPr>
        <w:t>各项费用之间可</w:t>
      </w:r>
      <w:r>
        <w:rPr>
          <w:rFonts w:hint="eastAsia" w:ascii="仿宋_GB2312" w:hAnsi="宋体" w:eastAsia="仿宋_GB2312" w:cs="仿宋"/>
          <w:sz w:val="32"/>
          <w:szCs w:val="32"/>
        </w:rPr>
        <w:t>调剂使用。</w:t>
      </w:r>
    </w:p>
    <w:p>
      <w:pPr>
        <w:snapToGrid w:val="0"/>
        <w:spacing w:line="360" w:lineRule="auto"/>
        <w:ind w:firstLine="640" w:firstLineChars="200"/>
        <w:rPr>
          <w:rFonts w:ascii="仿宋_GB2312" w:hAnsi="宋体" w:eastAsia="仿宋_GB2312" w:cs="仿宋"/>
          <w:sz w:val="32"/>
          <w:szCs w:val="32"/>
        </w:rPr>
      </w:pPr>
      <w:r>
        <w:rPr>
          <w:rFonts w:hint="eastAsia" w:ascii="仿宋_GB2312" w:hAnsi="宋体" w:eastAsia="仿宋_GB2312" w:cs="仿宋"/>
          <w:sz w:val="32"/>
          <w:szCs w:val="32"/>
        </w:rPr>
        <w:t>（三）会议费综合定额标准根据当地物价等因素进行动态调整。</w:t>
      </w:r>
    </w:p>
    <w:p>
      <w:pPr>
        <w:snapToGrid w:val="0"/>
        <w:spacing w:line="360" w:lineRule="auto"/>
        <w:ind w:firstLine="640" w:firstLineChars="200"/>
        <w:rPr>
          <w:rFonts w:ascii="仿宋_GB2312" w:hAnsi="宋体" w:eastAsia="仿宋_GB2312" w:cs="仿宋"/>
          <w:color w:val="FF0000"/>
          <w:sz w:val="32"/>
          <w:szCs w:val="32"/>
        </w:rPr>
      </w:pPr>
      <w:r>
        <w:rPr>
          <w:rFonts w:hint="eastAsia" w:ascii="仿宋_GB2312" w:hAnsi="宋体" w:eastAsia="仿宋_GB2312" w:cs="仿宋"/>
          <w:sz w:val="32"/>
          <w:szCs w:val="32"/>
        </w:rPr>
        <w:t>（四）国内业务会议如邀请个别外国专家参加的，参会外国专家食宿标准可参照在华举办国际会议标准执行。</w:t>
      </w:r>
    </w:p>
    <w:p>
      <w:pPr>
        <w:spacing w:line="360" w:lineRule="auto"/>
        <w:ind w:firstLine="643" w:firstLineChars="200"/>
        <w:rPr>
          <w:rFonts w:ascii="仿宋_GB2312" w:hAnsi="仿宋" w:eastAsia="仿宋_GB2312" w:cs="仿宋"/>
          <w:sz w:val="32"/>
          <w:szCs w:val="32"/>
        </w:rPr>
      </w:pPr>
      <w:r>
        <w:rPr>
          <w:rFonts w:hint="eastAsia" w:ascii="仿宋_GB2312" w:hAnsi="仿宋" w:eastAsia="仿宋_GB2312" w:cs="仿宋"/>
          <w:b/>
          <w:bCs/>
          <w:sz w:val="32"/>
          <w:szCs w:val="32"/>
        </w:rPr>
        <w:t>第十</w:t>
      </w:r>
      <w:r>
        <w:rPr>
          <w:rFonts w:hint="eastAsia" w:ascii="仿宋_GB2312" w:hAnsi="仿宋" w:eastAsia="仿宋_GB2312" w:cs="仿宋"/>
          <w:b/>
          <w:bCs/>
          <w:sz w:val="32"/>
          <w:szCs w:val="32"/>
          <w:lang w:val="en-US" w:eastAsia="zh-CN"/>
        </w:rPr>
        <w:t>二</w:t>
      </w:r>
      <w:r>
        <w:rPr>
          <w:rFonts w:hint="eastAsia" w:ascii="仿宋_GB2312" w:hAnsi="仿宋" w:eastAsia="仿宋_GB2312" w:cs="仿宋"/>
          <w:b/>
          <w:bCs/>
          <w:sz w:val="32"/>
          <w:szCs w:val="32"/>
        </w:rPr>
        <w:t>条</w:t>
      </w:r>
      <w:r>
        <w:rPr>
          <w:rFonts w:hint="eastAsia" w:ascii="方正小标宋简体" w:hAnsi="仿宋" w:eastAsia="方正小标宋简体" w:cs="仿宋"/>
          <w:b/>
          <w:bCs/>
          <w:sz w:val="32"/>
          <w:szCs w:val="32"/>
        </w:rPr>
        <w:t xml:space="preserve"> </w:t>
      </w:r>
      <w:r>
        <w:rPr>
          <w:rFonts w:hint="eastAsia" w:ascii="仿宋_GB2312" w:hAnsi="仿宋" w:eastAsia="仿宋_GB2312" w:cs="仿宋"/>
          <w:sz w:val="32"/>
          <w:szCs w:val="32"/>
        </w:rPr>
        <w:t>下列费用纳入会议费预算，但不计入会议费综合控制定额，从相应的支出科目中据实列支：</w:t>
      </w:r>
    </w:p>
    <w:p>
      <w:pPr>
        <w:spacing w:line="360" w:lineRule="auto"/>
        <w:ind w:firstLine="640" w:firstLineChars="200"/>
        <w:rPr>
          <w:rFonts w:ascii="仿宋_GB2312" w:hAnsi="仿宋" w:eastAsia="仿宋_GB2312" w:cs="仿宋"/>
          <w:sz w:val="32"/>
          <w:szCs w:val="32"/>
        </w:rPr>
      </w:pPr>
      <w:r>
        <w:rPr>
          <w:rFonts w:hint="eastAsia" w:ascii="仿宋_GB2312" w:hAnsi="仿宋" w:eastAsia="仿宋_GB2312" w:cs="仿宋"/>
          <w:sz w:val="32"/>
          <w:szCs w:val="32"/>
        </w:rPr>
        <w:t>（一）会议代表旅费。会议代表参加会议发生的旅费，原则上回单位报销。对确因工作需要，邀请学者、专家和有关人员参加会议所发生的城市间交通费、国际旅费，</w:t>
      </w:r>
      <w:r>
        <w:rPr>
          <w:rFonts w:hint="eastAsia" w:ascii="仿宋_GB2312" w:hAnsi="仿宋" w:eastAsia="仿宋_GB2312" w:cs="仿宋"/>
          <w:sz w:val="32"/>
          <w:szCs w:val="32"/>
          <w:lang w:val="en-US" w:eastAsia="zh-CN"/>
        </w:rPr>
        <w:t>按照学校相关规定</w:t>
      </w:r>
      <w:r>
        <w:rPr>
          <w:rFonts w:hint="eastAsia" w:ascii="仿宋_GB2312" w:hAnsi="仿宋" w:eastAsia="仿宋_GB2312" w:cs="仿宋"/>
          <w:sz w:val="32"/>
          <w:szCs w:val="32"/>
        </w:rPr>
        <w:t>在差旅费和外宾接待费中报销。</w:t>
      </w:r>
    </w:p>
    <w:p>
      <w:pPr>
        <w:spacing w:line="360" w:lineRule="auto"/>
        <w:ind w:firstLine="640" w:firstLineChars="200"/>
        <w:rPr>
          <w:rFonts w:ascii="仿宋_GB2312" w:hAnsi="仿宋" w:eastAsia="仿宋_GB2312" w:cs="仿宋"/>
          <w:sz w:val="32"/>
          <w:szCs w:val="32"/>
        </w:rPr>
      </w:pPr>
      <w:r>
        <w:rPr>
          <w:rFonts w:hint="eastAsia" w:ascii="仿宋_GB2312" w:hAnsi="仿宋" w:eastAsia="仿宋_GB2312" w:cs="仿宋"/>
          <w:sz w:val="32"/>
          <w:szCs w:val="32"/>
        </w:rPr>
        <w:t>（二）同声传译人员翻译费、同声传译设备租金。</w:t>
      </w:r>
    </w:p>
    <w:p>
      <w:pPr>
        <w:spacing w:line="360" w:lineRule="auto"/>
        <w:ind w:firstLine="640" w:firstLineChars="200"/>
        <w:rPr>
          <w:rFonts w:ascii="仿宋_GB2312" w:hAnsi="仿宋" w:eastAsia="仿宋_GB2312" w:cs="仿宋"/>
          <w:sz w:val="32"/>
          <w:szCs w:val="32"/>
        </w:rPr>
      </w:pPr>
      <w:r>
        <w:rPr>
          <w:rFonts w:hint="eastAsia" w:ascii="仿宋_GB2312" w:hAnsi="仿宋" w:eastAsia="仿宋_GB2312" w:cs="仿宋"/>
          <w:sz w:val="32"/>
          <w:szCs w:val="32"/>
        </w:rPr>
        <w:t>（三）参会专家人员费用。根据工作</w:t>
      </w:r>
      <w:r>
        <w:rPr>
          <w:rFonts w:hint="eastAsia" w:ascii="仿宋_GB2312" w:hAnsi="仿宋" w:eastAsia="仿宋_GB2312" w:cs="仿宋"/>
          <w:sz w:val="32"/>
          <w:szCs w:val="32"/>
          <w:lang w:val="en-US" w:eastAsia="zh-CN"/>
        </w:rPr>
        <w:t>性质和</w:t>
      </w:r>
      <w:r>
        <w:rPr>
          <w:rFonts w:hint="eastAsia" w:ascii="仿宋_GB2312" w:hAnsi="仿宋" w:eastAsia="仿宋_GB2312" w:cs="仿宋"/>
          <w:sz w:val="32"/>
          <w:szCs w:val="32"/>
        </w:rPr>
        <w:t>需要，可向邀请参会专家发放咨询费、讲课费、劳务费，按照学校相关规定和标准执行。</w:t>
      </w:r>
    </w:p>
    <w:p>
      <w:pPr>
        <w:spacing w:line="360" w:lineRule="auto"/>
        <w:ind w:firstLine="640" w:firstLineChars="200"/>
        <w:rPr>
          <w:rFonts w:ascii="仿宋_GB2312" w:hAnsi="仿宋" w:eastAsia="仿宋_GB2312" w:cs="仿宋"/>
          <w:sz w:val="32"/>
          <w:szCs w:val="32"/>
        </w:rPr>
      </w:pPr>
      <w:r>
        <w:rPr>
          <w:rFonts w:hint="eastAsia" w:ascii="仿宋_GB2312" w:hAnsi="仿宋" w:eastAsia="仿宋_GB2312" w:cs="仿宋"/>
          <w:sz w:val="32"/>
          <w:szCs w:val="32"/>
        </w:rPr>
        <w:t>（四）</w:t>
      </w:r>
      <w:bookmarkStart w:id="18" w:name="OLE_LINK18"/>
      <w:r>
        <w:rPr>
          <w:rFonts w:hint="eastAsia" w:ascii="仿宋_GB2312" w:hAnsi="仿宋" w:eastAsia="仿宋_GB2312" w:cs="仿宋"/>
          <w:sz w:val="32"/>
          <w:szCs w:val="32"/>
        </w:rPr>
        <w:t>会议交通费，指用于会议代表机场、西安高铁站接送以及会议统一组织的业务考察、工作调研等发生的交通费用支出，实行实报实销。</w:t>
      </w:r>
      <w:bookmarkEnd w:id="18"/>
    </w:p>
    <w:p>
      <w:pPr>
        <w:ind w:firstLine="643" w:firstLineChars="200"/>
        <w:rPr>
          <w:rFonts w:ascii="仿宋_GB2312" w:hAnsi="仿宋" w:eastAsia="仿宋_GB2312" w:cs="仿宋"/>
          <w:sz w:val="32"/>
          <w:szCs w:val="32"/>
        </w:rPr>
      </w:pPr>
      <w:r>
        <w:rPr>
          <w:rFonts w:hint="eastAsia" w:ascii="仿宋_GB2312" w:hAnsi="仿宋" w:eastAsia="仿宋_GB2312" w:cs="仿宋"/>
          <w:b/>
          <w:bCs/>
          <w:sz w:val="32"/>
          <w:szCs w:val="32"/>
        </w:rPr>
        <w:t>第十</w:t>
      </w:r>
      <w:r>
        <w:rPr>
          <w:rFonts w:hint="eastAsia" w:ascii="仿宋_GB2312" w:hAnsi="仿宋" w:eastAsia="仿宋_GB2312" w:cs="仿宋"/>
          <w:b/>
          <w:bCs/>
          <w:sz w:val="32"/>
          <w:szCs w:val="32"/>
          <w:lang w:val="en-US" w:eastAsia="zh-CN"/>
        </w:rPr>
        <w:t>三</w:t>
      </w:r>
      <w:r>
        <w:rPr>
          <w:rFonts w:hint="eastAsia" w:ascii="仿宋_GB2312" w:hAnsi="仿宋" w:eastAsia="仿宋_GB2312" w:cs="仿宋"/>
          <w:b/>
          <w:bCs/>
          <w:sz w:val="32"/>
          <w:szCs w:val="32"/>
        </w:rPr>
        <w:t>条</w:t>
      </w:r>
      <w:r>
        <w:rPr>
          <w:rFonts w:hint="eastAsia" w:ascii="仿宋_GB2312" w:hAnsi="仿宋" w:eastAsia="仿宋_GB2312" w:cs="仿宋"/>
          <w:sz w:val="32"/>
          <w:szCs w:val="32"/>
        </w:rPr>
        <w:t xml:space="preserve">  使用财政专项经费、纵向科研经费和其他实行预算控制的经费召开会议，应在经费批准的会议费预算额度和标准内开支会议费。</w:t>
      </w:r>
      <w:bookmarkStart w:id="19" w:name="OLE_LINK14"/>
    </w:p>
    <w:bookmarkEnd w:id="19"/>
    <w:p>
      <w:pPr>
        <w:spacing w:line="360" w:lineRule="auto"/>
        <w:ind w:firstLine="643" w:firstLineChars="200"/>
        <w:rPr>
          <w:rFonts w:ascii="仿宋_GB2312" w:hAnsi="仿宋" w:eastAsia="仿宋_GB2312" w:cs="仿宋"/>
          <w:sz w:val="32"/>
          <w:szCs w:val="32"/>
        </w:rPr>
      </w:pPr>
      <w:r>
        <w:rPr>
          <w:rFonts w:hint="eastAsia" w:ascii="仿宋_GB2312" w:hAnsi="仿宋" w:eastAsia="仿宋_GB2312" w:cs="仿宋"/>
          <w:b/>
          <w:bCs/>
          <w:sz w:val="32"/>
          <w:szCs w:val="32"/>
        </w:rPr>
        <w:t>第十</w:t>
      </w:r>
      <w:r>
        <w:rPr>
          <w:rFonts w:hint="eastAsia" w:ascii="仿宋_GB2312" w:hAnsi="仿宋" w:eastAsia="仿宋_GB2312" w:cs="仿宋"/>
          <w:b/>
          <w:bCs/>
          <w:sz w:val="32"/>
          <w:szCs w:val="32"/>
          <w:lang w:val="en-US" w:eastAsia="zh-CN"/>
        </w:rPr>
        <w:t>四</w:t>
      </w:r>
      <w:r>
        <w:rPr>
          <w:rFonts w:hint="eastAsia" w:ascii="仿宋_GB2312" w:hAnsi="仿宋" w:eastAsia="仿宋_GB2312" w:cs="仿宋"/>
          <w:b/>
          <w:bCs/>
          <w:sz w:val="32"/>
          <w:szCs w:val="32"/>
        </w:rPr>
        <w:t>条</w:t>
      </w:r>
      <w:r>
        <w:rPr>
          <w:rFonts w:hint="eastAsia" w:ascii="方正小标宋简体" w:hAnsi="仿宋" w:eastAsia="方正小标宋简体" w:cs="仿宋"/>
          <w:b/>
          <w:bCs/>
          <w:sz w:val="32"/>
          <w:szCs w:val="32"/>
        </w:rPr>
        <w:t xml:space="preserve"> </w:t>
      </w:r>
      <w:r>
        <w:rPr>
          <w:rFonts w:hint="eastAsia" w:ascii="仿宋_GB2312" w:hAnsi="仿宋" w:eastAsia="仿宋_GB2312" w:cs="仿宋"/>
          <w:sz w:val="32"/>
          <w:szCs w:val="32"/>
          <w:lang w:val="en-US" w:eastAsia="zh-CN"/>
        </w:rPr>
        <w:t>会议各项收入应纳入学校财务统一管理，专款专用。</w:t>
      </w:r>
    </w:p>
    <w:p>
      <w:pPr>
        <w:spacing w:line="360" w:lineRule="auto"/>
        <w:ind w:firstLine="643" w:firstLineChars="200"/>
        <w:rPr>
          <w:rFonts w:ascii="仿宋_GB2312" w:hAnsi="仿宋" w:eastAsia="仿宋_GB2312" w:cs="仿宋"/>
          <w:sz w:val="32"/>
          <w:szCs w:val="32"/>
        </w:rPr>
      </w:pPr>
      <w:r>
        <w:rPr>
          <w:rFonts w:hint="eastAsia" w:ascii="仿宋_GB2312" w:hAnsi="仿宋" w:eastAsia="仿宋_GB2312" w:cs="仿宋"/>
          <w:b/>
          <w:bCs/>
          <w:sz w:val="32"/>
          <w:szCs w:val="32"/>
        </w:rPr>
        <w:t>第十</w:t>
      </w:r>
      <w:r>
        <w:rPr>
          <w:rFonts w:hint="eastAsia" w:ascii="仿宋_GB2312" w:hAnsi="仿宋" w:eastAsia="仿宋_GB2312" w:cs="仿宋"/>
          <w:b/>
          <w:bCs/>
          <w:sz w:val="32"/>
          <w:szCs w:val="32"/>
          <w:lang w:val="en-US" w:eastAsia="zh-CN"/>
        </w:rPr>
        <w:t>五</w:t>
      </w:r>
      <w:r>
        <w:rPr>
          <w:rFonts w:hint="eastAsia" w:ascii="仿宋_GB2312" w:hAnsi="仿宋" w:eastAsia="仿宋_GB2312" w:cs="仿宋"/>
          <w:b/>
          <w:bCs/>
          <w:sz w:val="32"/>
          <w:szCs w:val="32"/>
        </w:rPr>
        <w:t>条</w:t>
      </w:r>
      <w:r>
        <w:rPr>
          <w:rFonts w:hint="eastAsia" w:ascii="仿宋_GB2312" w:hAnsi="仿宋" w:eastAsia="仿宋_GB2312" w:cs="仿宋"/>
          <w:sz w:val="32"/>
          <w:szCs w:val="32"/>
        </w:rPr>
        <w:t xml:space="preserve"> 除符合国家现金支付规定的费用外，会议费的支付应当严格按照国库集中支付制度和公务卡管理制度的有关规定执行，以银行转账或公务卡方式结算，禁止以现金方式结算。</w:t>
      </w:r>
    </w:p>
    <w:p>
      <w:pPr>
        <w:spacing w:line="360" w:lineRule="auto"/>
        <w:ind w:firstLine="640" w:firstLineChars="200"/>
        <w:rPr>
          <w:rFonts w:ascii="仿宋_GB2312" w:hAnsi="仿宋" w:eastAsia="仿宋_GB2312" w:cs="仿宋"/>
          <w:sz w:val="32"/>
          <w:szCs w:val="32"/>
        </w:rPr>
      </w:pPr>
      <w:r>
        <w:rPr>
          <w:rFonts w:hint="eastAsia" w:ascii="仿宋_GB2312" w:hAnsi="仿宋" w:eastAsia="仿宋_GB2312" w:cs="仿宋"/>
          <w:b/>
          <w:bCs/>
          <w:sz w:val="32"/>
          <w:szCs w:val="32"/>
        </w:rPr>
        <w:t>第十</w:t>
      </w:r>
      <w:r>
        <w:rPr>
          <w:rFonts w:hint="eastAsia" w:ascii="仿宋_GB2312" w:hAnsi="仿宋" w:eastAsia="仿宋_GB2312" w:cs="仿宋"/>
          <w:b/>
          <w:bCs/>
          <w:sz w:val="32"/>
          <w:szCs w:val="32"/>
          <w:lang w:val="en-US" w:eastAsia="zh-CN"/>
        </w:rPr>
        <w:t>六</w:t>
      </w:r>
      <w:r>
        <w:rPr>
          <w:rFonts w:hint="eastAsia" w:ascii="仿宋_GB2312" w:hAnsi="仿宋" w:eastAsia="仿宋_GB2312" w:cs="仿宋"/>
          <w:b/>
          <w:bCs/>
          <w:sz w:val="32"/>
          <w:szCs w:val="32"/>
        </w:rPr>
        <w:t xml:space="preserve">条 </w:t>
      </w:r>
      <w:r>
        <w:rPr>
          <w:rFonts w:hint="eastAsia" w:ascii="仿宋_GB2312" w:hAnsi="仿宋" w:eastAsia="仿宋_GB2312" w:cs="仿宋"/>
          <w:sz w:val="32"/>
          <w:szCs w:val="32"/>
        </w:rPr>
        <w:t>会议举办者在会议结束后应当及时汇总各项资料和票据，填写会议费报销单，统一办理报销手续。会议费报销时应提供：</w:t>
      </w:r>
    </w:p>
    <w:p>
      <w:pPr>
        <w:spacing w:line="360" w:lineRule="auto"/>
        <w:ind w:firstLine="640" w:firstLineChars="200"/>
        <w:rPr>
          <w:rFonts w:ascii="仿宋_GB2312" w:hAnsi="仿宋" w:eastAsia="仿宋_GB2312" w:cs="仿宋"/>
          <w:sz w:val="32"/>
          <w:szCs w:val="32"/>
        </w:rPr>
      </w:pPr>
      <w:r>
        <w:rPr>
          <w:rFonts w:hint="eastAsia" w:ascii="仿宋_GB2312" w:hAnsi="仿宋" w:eastAsia="仿宋_GB2312" w:cs="仿宋"/>
          <w:sz w:val="32"/>
          <w:szCs w:val="32"/>
        </w:rPr>
        <w:t>（一）</w:t>
      </w:r>
      <w:r>
        <w:rPr>
          <w:rFonts w:hint="eastAsia" w:ascii="仿宋_GB2312" w:hAnsi="仿宋" w:eastAsia="仿宋_GB2312" w:cs="仿宋"/>
          <w:sz w:val="32"/>
          <w:szCs w:val="32"/>
          <w:lang w:val="en-US" w:eastAsia="zh-CN"/>
        </w:rPr>
        <w:t>会议通知</w:t>
      </w:r>
      <w:r>
        <w:rPr>
          <w:rFonts w:hint="eastAsia" w:ascii="仿宋_GB2312" w:hAnsi="仿宋" w:eastAsia="仿宋_GB2312" w:cs="仿宋"/>
          <w:sz w:val="32"/>
          <w:szCs w:val="32"/>
        </w:rPr>
        <w:t>；</w:t>
      </w:r>
    </w:p>
    <w:p>
      <w:pPr>
        <w:spacing w:line="360" w:lineRule="auto"/>
        <w:ind w:firstLine="640" w:firstLineChars="200"/>
        <w:rPr>
          <w:rFonts w:ascii="仿宋_GB2312" w:hAnsi="仿宋" w:eastAsia="仿宋_GB2312" w:cs="仿宋"/>
          <w:sz w:val="32"/>
          <w:szCs w:val="32"/>
        </w:rPr>
      </w:pPr>
      <w:r>
        <w:rPr>
          <w:rFonts w:hint="eastAsia" w:ascii="仿宋_GB2312" w:hAnsi="仿宋" w:eastAsia="仿宋_GB2312" w:cs="仿宋"/>
          <w:sz w:val="32"/>
          <w:szCs w:val="32"/>
        </w:rPr>
        <w:t>（二）</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rPr>
        <w:t>西北农林科技大学举办会议</w:t>
      </w:r>
      <w:r>
        <w:rPr>
          <w:rFonts w:hint="eastAsia" w:ascii="仿宋_GB2312" w:hAnsi="仿宋" w:eastAsia="仿宋_GB2312" w:cs="仿宋"/>
          <w:sz w:val="32"/>
          <w:szCs w:val="32"/>
          <w:lang w:val="en-US" w:eastAsia="zh-CN"/>
        </w:rPr>
        <w:t>审批表</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rPr>
        <w:t>；</w:t>
      </w:r>
    </w:p>
    <w:p>
      <w:pPr>
        <w:spacing w:line="360" w:lineRule="auto"/>
        <w:ind w:firstLine="640" w:firstLineChars="200"/>
        <w:rPr>
          <w:rFonts w:ascii="仿宋_GB2312" w:hAnsi="仿宋" w:eastAsia="仿宋_GB2312" w:cs="仿宋"/>
          <w:sz w:val="32"/>
          <w:szCs w:val="32"/>
        </w:rPr>
      </w:pPr>
      <w:r>
        <w:rPr>
          <w:rFonts w:hint="eastAsia" w:ascii="仿宋_GB2312" w:hAnsi="仿宋" w:eastAsia="仿宋_GB2312" w:cs="仿宋"/>
          <w:sz w:val="32"/>
          <w:szCs w:val="32"/>
        </w:rPr>
        <w:t>（三）会议费报销单；</w:t>
      </w:r>
    </w:p>
    <w:p>
      <w:pPr>
        <w:spacing w:line="360" w:lineRule="auto"/>
        <w:ind w:firstLine="640" w:firstLineChars="200"/>
        <w:rPr>
          <w:rFonts w:ascii="仿宋_GB2312" w:hAnsi="仿宋" w:eastAsia="仿宋_GB2312" w:cs="仿宋"/>
          <w:sz w:val="32"/>
          <w:szCs w:val="32"/>
        </w:rPr>
      </w:pPr>
      <w:r>
        <w:rPr>
          <w:rFonts w:hint="eastAsia" w:ascii="仿宋_GB2312" w:hAnsi="仿宋" w:eastAsia="仿宋_GB2312" w:cs="仿宋"/>
          <w:sz w:val="32"/>
          <w:szCs w:val="32"/>
        </w:rPr>
        <w:t>（四）实际参会人员签到表（如无法提供签到表，可提供参会人员名单、联系方式）；</w:t>
      </w:r>
    </w:p>
    <w:p>
      <w:pPr>
        <w:spacing w:line="360" w:lineRule="auto"/>
        <w:ind w:firstLine="640" w:firstLineChars="200"/>
        <w:rPr>
          <w:rFonts w:ascii="仿宋_GB2312" w:hAnsi="仿宋" w:eastAsia="仿宋_GB2312" w:cs="仿宋"/>
          <w:sz w:val="32"/>
          <w:szCs w:val="32"/>
        </w:rPr>
      </w:pPr>
      <w:r>
        <w:rPr>
          <w:rFonts w:hint="eastAsia" w:ascii="仿宋_GB2312" w:hAnsi="仿宋" w:eastAsia="仿宋_GB2312" w:cs="仿宋"/>
          <w:sz w:val="32"/>
          <w:szCs w:val="32"/>
        </w:rPr>
        <w:t>（五）会议服务单位提供的费用发票、原始明细单据、电子结算单、委托协议（合同）等资料。</w:t>
      </w:r>
    </w:p>
    <w:p>
      <w:pPr>
        <w:spacing w:line="360" w:lineRule="auto"/>
        <w:ind w:firstLine="640" w:firstLineChars="200"/>
        <w:rPr>
          <w:rFonts w:ascii="仿宋_GB2312" w:hAnsi="仿宋" w:eastAsia="仿宋_GB2312" w:cs="仿宋"/>
          <w:sz w:val="32"/>
          <w:szCs w:val="32"/>
        </w:rPr>
      </w:pPr>
      <w:r>
        <w:rPr>
          <w:rFonts w:hint="eastAsia" w:ascii="仿宋_GB2312" w:hAnsi="仿宋" w:eastAsia="仿宋_GB2312" w:cs="仿宋"/>
          <w:sz w:val="32"/>
          <w:szCs w:val="32"/>
        </w:rPr>
        <w:t>为简便报销手续，对于会期不超过1天，不安排住宿的评审会、验收会、</w:t>
      </w:r>
      <w:r>
        <w:rPr>
          <w:rFonts w:hint="eastAsia" w:ascii="仿宋_GB2312" w:hAnsi="仿宋" w:eastAsia="仿宋_GB2312" w:cs="仿宋"/>
          <w:sz w:val="32"/>
          <w:szCs w:val="32"/>
          <w:lang w:val="en-US" w:eastAsia="zh-CN"/>
        </w:rPr>
        <w:t>项目</w:t>
      </w:r>
      <w:r>
        <w:rPr>
          <w:rFonts w:hint="eastAsia" w:ascii="仿宋_GB2312" w:hAnsi="仿宋" w:eastAsia="仿宋_GB2312" w:cs="仿宋"/>
          <w:sz w:val="32"/>
          <w:szCs w:val="32"/>
        </w:rPr>
        <w:t>答辩会等，报销会议费时无需提供会议通知。</w:t>
      </w:r>
    </w:p>
    <w:p>
      <w:pPr>
        <w:ind w:firstLine="630" w:firstLineChars="196"/>
        <w:rPr>
          <w:rFonts w:ascii="仿宋_GB2312" w:hAnsi="仿宋" w:eastAsia="仿宋_GB2312" w:cs="仿宋"/>
          <w:sz w:val="32"/>
          <w:szCs w:val="32"/>
        </w:rPr>
      </w:pPr>
      <w:r>
        <w:rPr>
          <w:rFonts w:hint="eastAsia" w:ascii="仿宋_GB2312" w:hAnsi="仿宋" w:eastAsia="仿宋_GB2312" w:cs="仿宋"/>
          <w:b/>
          <w:bCs/>
          <w:sz w:val="32"/>
          <w:szCs w:val="32"/>
        </w:rPr>
        <w:t>第十</w:t>
      </w:r>
      <w:r>
        <w:rPr>
          <w:rFonts w:hint="eastAsia" w:ascii="仿宋_GB2312" w:hAnsi="仿宋" w:eastAsia="仿宋_GB2312" w:cs="仿宋"/>
          <w:b/>
          <w:bCs/>
          <w:sz w:val="32"/>
          <w:szCs w:val="32"/>
          <w:lang w:val="en-US" w:eastAsia="zh-CN"/>
        </w:rPr>
        <w:t>七</w:t>
      </w:r>
      <w:r>
        <w:rPr>
          <w:rFonts w:hint="eastAsia" w:ascii="仿宋_GB2312" w:hAnsi="仿宋" w:eastAsia="仿宋_GB2312" w:cs="仿宋"/>
          <w:b/>
          <w:bCs/>
          <w:sz w:val="32"/>
          <w:szCs w:val="32"/>
        </w:rPr>
        <w:t xml:space="preserve">条 </w:t>
      </w:r>
      <w:r>
        <w:rPr>
          <w:rFonts w:hint="eastAsia" w:ascii="仿宋_GB2312" w:hAnsi="仿宋" w:eastAsia="仿宋_GB2312" w:cs="仿宋"/>
          <w:sz w:val="32"/>
          <w:szCs w:val="32"/>
        </w:rPr>
        <w:t>会议借款和报销应按会议费预算执行。财务部门要严格按规定审核会议费开支，会议费在开支范围内凭据报销，对超范围、超标准开支的经费不予报销。如实际支出超出预算，须在会议费报销单的特殊事项中予以披露，</w:t>
      </w:r>
      <w:r>
        <w:rPr>
          <w:rFonts w:hint="eastAsia" w:ascii="仿宋_GB2312" w:hAnsi="仿宋" w:eastAsia="仿宋_GB2312" w:cs="仿宋"/>
          <w:sz w:val="32"/>
          <w:szCs w:val="32"/>
          <w:lang w:val="en-US" w:eastAsia="zh-CN"/>
        </w:rPr>
        <w:t>重新办理审批手续</w:t>
      </w:r>
      <w:r>
        <w:rPr>
          <w:rFonts w:hint="eastAsia" w:ascii="仿宋_GB2312" w:hAnsi="仿宋" w:eastAsia="仿宋_GB2312" w:cs="仿宋"/>
          <w:sz w:val="32"/>
          <w:szCs w:val="32"/>
        </w:rPr>
        <w:t>后准予报销。</w:t>
      </w:r>
    </w:p>
    <w:p>
      <w:pPr>
        <w:spacing w:line="360" w:lineRule="auto"/>
        <w:ind w:firstLine="643" w:firstLineChars="200"/>
        <w:rPr>
          <w:rFonts w:ascii="仿宋_GB2312" w:hAnsi="仿宋" w:eastAsia="仿宋_GB2312" w:cs="仿宋"/>
          <w:sz w:val="32"/>
          <w:szCs w:val="32"/>
        </w:rPr>
      </w:pPr>
      <w:r>
        <w:rPr>
          <w:rFonts w:hint="eastAsia" w:ascii="仿宋_GB2312" w:hAnsi="仿宋" w:eastAsia="仿宋_GB2312" w:cs="仿宋"/>
          <w:b/>
          <w:bCs/>
          <w:sz w:val="32"/>
          <w:szCs w:val="32"/>
        </w:rPr>
        <w:t>第</w:t>
      </w:r>
      <w:r>
        <w:rPr>
          <w:rFonts w:hint="eastAsia" w:ascii="仿宋_GB2312" w:hAnsi="仿宋" w:eastAsia="仿宋_GB2312" w:cs="仿宋"/>
          <w:b/>
          <w:bCs/>
          <w:sz w:val="32"/>
          <w:szCs w:val="32"/>
          <w:lang w:val="en-US" w:eastAsia="zh-CN"/>
        </w:rPr>
        <w:t>十八</w:t>
      </w:r>
      <w:r>
        <w:rPr>
          <w:rFonts w:hint="eastAsia" w:ascii="仿宋_GB2312" w:hAnsi="仿宋" w:eastAsia="仿宋_GB2312" w:cs="仿宋"/>
          <w:b/>
          <w:bCs/>
          <w:sz w:val="32"/>
          <w:szCs w:val="32"/>
        </w:rPr>
        <w:t>条</w:t>
      </w:r>
      <w:r>
        <w:rPr>
          <w:rFonts w:hint="eastAsia" w:ascii="方正小标宋简体" w:hAnsi="仿宋" w:eastAsia="方正小标宋简体" w:cs="仿宋"/>
          <w:b/>
          <w:bCs/>
          <w:sz w:val="32"/>
          <w:szCs w:val="32"/>
        </w:rPr>
        <w:t xml:space="preserve"> </w:t>
      </w:r>
      <w:r>
        <w:rPr>
          <w:rFonts w:hint="eastAsia" w:ascii="仿宋_GB2312" w:hAnsi="仿宋" w:eastAsia="仿宋_GB2312" w:cs="仿宋"/>
          <w:sz w:val="32"/>
          <w:szCs w:val="32"/>
        </w:rPr>
        <w:t>对于全部使用财政拨款举办的会议，不得再向参会人员收取费用，严禁转嫁摊派会议费。对于使用多种资金渠道举办的会议，按照成本补偿的原则，各单位可以适当向参会人员收取会议费，收取的标准不能超过综合定额标准，收取的费用列入“其他收入”科目。</w:t>
      </w:r>
    </w:p>
    <w:p>
      <w:pPr>
        <w:pStyle w:val="2"/>
        <w:rPr>
          <w:rFonts w:hint="eastAsia" w:ascii="黑体" w:hAnsi="黑体" w:eastAsia="黑体" w:cs="黑体"/>
          <w:b w:val="0"/>
          <w:bCs w:val="0"/>
        </w:rPr>
      </w:pPr>
      <w:bookmarkStart w:id="20" w:name="OLE_LINK2"/>
      <w:r>
        <w:rPr>
          <w:rFonts w:hint="eastAsia" w:ascii="黑体" w:hAnsi="黑体" w:eastAsia="黑体" w:cs="黑体"/>
          <w:b w:val="0"/>
          <w:bCs w:val="0"/>
        </w:rPr>
        <w:t>第四章 监督问责</w:t>
      </w:r>
    </w:p>
    <w:bookmarkEnd w:id="20"/>
    <w:p>
      <w:pPr>
        <w:spacing w:line="360" w:lineRule="auto"/>
        <w:ind w:firstLine="643" w:firstLineChars="200"/>
        <w:rPr>
          <w:rFonts w:ascii="仿宋_GB2312" w:hAnsi="仿宋" w:eastAsia="仿宋_GB2312" w:cs="仿宋"/>
          <w:sz w:val="32"/>
          <w:szCs w:val="32"/>
        </w:rPr>
      </w:pPr>
      <w:r>
        <w:rPr>
          <w:rFonts w:hint="eastAsia" w:ascii="仿宋_GB2312" w:hAnsi="仿宋" w:eastAsia="仿宋_GB2312" w:cs="仿宋"/>
          <w:b/>
          <w:bCs/>
          <w:sz w:val="32"/>
          <w:szCs w:val="32"/>
        </w:rPr>
        <w:t>第</w:t>
      </w:r>
      <w:r>
        <w:rPr>
          <w:rFonts w:hint="eastAsia" w:ascii="仿宋_GB2312" w:hAnsi="仿宋" w:eastAsia="仿宋_GB2312" w:cs="仿宋"/>
          <w:b/>
          <w:bCs/>
          <w:sz w:val="32"/>
          <w:szCs w:val="32"/>
          <w:lang w:val="en-US" w:eastAsia="zh-CN"/>
        </w:rPr>
        <w:t>十九</w:t>
      </w:r>
      <w:r>
        <w:rPr>
          <w:rFonts w:hint="eastAsia" w:ascii="仿宋_GB2312" w:hAnsi="仿宋" w:eastAsia="仿宋_GB2312" w:cs="仿宋"/>
          <w:b/>
          <w:bCs/>
          <w:sz w:val="32"/>
          <w:szCs w:val="32"/>
        </w:rPr>
        <w:t>条</w:t>
      </w:r>
      <w:r>
        <w:rPr>
          <w:rFonts w:hint="eastAsia" w:ascii="仿宋_GB2312" w:hAnsi="仿宋" w:eastAsia="仿宋_GB2312" w:cs="仿宋"/>
          <w:sz w:val="32"/>
          <w:szCs w:val="32"/>
        </w:rPr>
        <w:t xml:space="preserve"> 学校纪检、监察、审计、财务等部门对会议举办部门的会议费管理和使用情况进行监督检查。主要内容包括会议审批制度是否健全，开支范围和标准、报销手续是否符合规定等。</w:t>
      </w:r>
    </w:p>
    <w:p>
      <w:pPr>
        <w:spacing w:line="360" w:lineRule="auto"/>
        <w:ind w:firstLine="643" w:firstLineChars="200"/>
        <w:rPr>
          <w:rFonts w:ascii="仿宋_GB2312" w:hAnsi="仿宋" w:eastAsia="仿宋_GB2312" w:cs="仿宋"/>
          <w:sz w:val="32"/>
          <w:szCs w:val="32"/>
        </w:rPr>
      </w:pPr>
      <w:r>
        <w:rPr>
          <w:rFonts w:hint="eastAsia" w:ascii="仿宋_GB2312" w:hAnsi="仿宋" w:eastAsia="仿宋_GB2312" w:cs="仿宋"/>
          <w:b/>
          <w:bCs/>
          <w:sz w:val="32"/>
          <w:szCs w:val="32"/>
        </w:rPr>
        <w:t>第二十条</w:t>
      </w:r>
      <w:r>
        <w:rPr>
          <w:rFonts w:hint="eastAsia" w:ascii="仿宋_GB2312" w:hAnsi="仿宋" w:eastAsia="仿宋_GB2312" w:cs="仿宋"/>
          <w:sz w:val="32"/>
          <w:szCs w:val="32"/>
        </w:rPr>
        <w:t xml:space="preserve"> 严禁借会议名义组织会餐或安排宴请；严禁套取会议费设立“小金库”；严禁在会议费中列支公务接待费。</w:t>
      </w:r>
    </w:p>
    <w:p>
      <w:pPr>
        <w:snapToGrid w:val="0"/>
        <w:spacing w:line="360" w:lineRule="auto"/>
        <w:ind w:firstLine="627" w:firstLineChars="196"/>
        <w:rPr>
          <w:rFonts w:ascii="仿宋_GB2312" w:hAnsi="宋体" w:eastAsia="仿宋_GB2312" w:cs="仿宋"/>
          <w:sz w:val="32"/>
          <w:szCs w:val="32"/>
        </w:rPr>
      </w:pPr>
      <w:r>
        <w:rPr>
          <w:rFonts w:hint="eastAsia" w:ascii="仿宋_GB2312" w:hAnsi="宋体" w:eastAsia="仿宋_GB2312" w:cs="仿宋"/>
          <w:sz w:val="32"/>
          <w:szCs w:val="32"/>
        </w:rPr>
        <w:t>会议用餐严格控制菜品种类、数量和份量，严禁提供高档菜肴和香烟；不得使用会议费购置电脑、复印机、打印机、传真机等固定资产以及开支与本次会议无关的其他费用；不得组织会议代表旅游和与会议无关的参观；严禁组织高消费娱乐、健身活动；严禁以任何名义发放纪念品；不得额外配发洗漱用品。</w:t>
      </w:r>
    </w:p>
    <w:p>
      <w:pPr>
        <w:spacing w:line="360" w:lineRule="auto"/>
        <w:ind w:firstLine="640" w:firstLineChars="200"/>
        <w:rPr>
          <w:rFonts w:ascii="仿宋_GB2312" w:hAnsi="仿宋" w:eastAsia="仿宋_GB2312" w:cs="仿宋"/>
          <w:sz w:val="32"/>
          <w:szCs w:val="32"/>
        </w:rPr>
      </w:pPr>
      <w:r>
        <w:rPr>
          <w:rFonts w:hint="eastAsia" w:ascii="仿宋_GB2312" w:hAnsi="宋体" w:eastAsia="仿宋_GB2312" w:cs="仿宋"/>
          <w:kern w:val="0"/>
          <w:sz w:val="32"/>
          <w:szCs w:val="32"/>
        </w:rPr>
        <w:t>国内管理会议</w:t>
      </w:r>
      <w:bookmarkStart w:id="21" w:name="OLE_LINK10"/>
      <w:r>
        <w:rPr>
          <w:rFonts w:hint="eastAsia" w:ascii="仿宋_GB2312" w:hAnsi="宋体" w:eastAsia="仿宋_GB2312" w:cs="仿宋"/>
          <w:sz w:val="32"/>
          <w:szCs w:val="32"/>
        </w:rPr>
        <w:t>不得安排高档套房</w:t>
      </w:r>
      <w:bookmarkEnd w:id="21"/>
      <w:r>
        <w:rPr>
          <w:rFonts w:hint="eastAsia" w:ascii="仿宋_GB2312" w:hAnsi="宋体" w:eastAsia="仿宋_GB2312" w:cs="仿宋"/>
          <w:sz w:val="32"/>
          <w:szCs w:val="32"/>
          <w:lang w:eastAsia="zh-CN"/>
        </w:rPr>
        <w:t>，</w:t>
      </w:r>
      <w:r>
        <w:rPr>
          <w:rFonts w:hint="eastAsia" w:ascii="仿宋_GB2312" w:hAnsi="宋体" w:eastAsia="仿宋_GB2312" w:cs="仿宋"/>
          <w:kern w:val="0"/>
          <w:sz w:val="32"/>
          <w:szCs w:val="32"/>
        </w:rPr>
        <w:t>用餐不上酒水，会场不制作背景板、不提供水果和茶歇。</w:t>
      </w:r>
    </w:p>
    <w:p>
      <w:pPr>
        <w:spacing w:line="360" w:lineRule="auto"/>
        <w:ind w:firstLine="643" w:firstLineChars="200"/>
        <w:rPr>
          <w:rFonts w:ascii="仿宋_GB2312" w:hAnsi="仿宋" w:eastAsia="仿宋_GB2312" w:cs="仿宋"/>
          <w:sz w:val="32"/>
          <w:szCs w:val="32"/>
        </w:rPr>
      </w:pPr>
      <w:r>
        <w:rPr>
          <w:rFonts w:hint="eastAsia" w:ascii="仿宋_GB2312" w:hAnsi="仿宋" w:eastAsia="仿宋_GB2312" w:cs="仿宋"/>
          <w:b/>
          <w:bCs/>
          <w:sz w:val="32"/>
          <w:szCs w:val="32"/>
        </w:rPr>
        <w:t>第二十</w:t>
      </w:r>
      <w:r>
        <w:rPr>
          <w:rFonts w:hint="eastAsia" w:ascii="仿宋_GB2312" w:hAnsi="仿宋" w:eastAsia="仿宋_GB2312" w:cs="仿宋"/>
          <w:b/>
          <w:bCs/>
          <w:sz w:val="32"/>
          <w:szCs w:val="32"/>
          <w:lang w:val="en-US" w:eastAsia="zh-CN"/>
        </w:rPr>
        <w:t>一</w:t>
      </w:r>
      <w:r>
        <w:rPr>
          <w:rFonts w:hint="eastAsia" w:ascii="仿宋_GB2312" w:hAnsi="仿宋" w:eastAsia="仿宋_GB2312" w:cs="仿宋"/>
          <w:b/>
          <w:bCs/>
          <w:sz w:val="32"/>
          <w:szCs w:val="32"/>
        </w:rPr>
        <w:t>条</w:t>
      </w:r>
      <w:r>
        <w:rPr>
          <w:rFonts w:hint="eastAsia" w:ascii="仿宋_GB2312" w:hAnsi="仿宋" w:eastAsia="仿宋_GB2312" w:cs="仿宋"/>
          <w:sz w:val="32"/>
          <w:szCs w:val="32"/>
        </w:rPr>
        <w:t xml:space="preserve"> 违反本办法规定，有下列行为之一的，</w:t>
      </w:r>
      <w:r>
        <w:rPr>
          <w:rFonts w:hint="eastAsia" w:ascii="仿宋_GB2312" w:hAnsi="仿宋" w:eastAsia="仿宋_GB2312" w:cs="仿宋"/>
          <w:sz w:val="32"/>
          <w:szCs w:val="32"/>
          <w:lang w:val="en-US" w:eastAsia="zh-CN"/>
        </w:rPr>
        <w:t>依法依规追究会议举办部门和相关人员的责任，同时报纪检监察部门严肃处理。涉嫌违法的，移交司法机关处理。</w:t>
      </w:r>
    </w:p>
    <w:p>
      <w:pPr>
        <w:spacing w:line="360" w:lineRule="auto"/>
        <w:ind w:firstLine="640" w:firstLineChars="200"/>
        <w:rPr>
          <w:rFonts w:ascii="仿宋_GB2312" w:hAnsi="仿宋" w:eastAsia="仿宋_GB2312" w:cs="仿宋"/>
          <w:sz w:val="32"/>
          <w:szCs w:val="32"/>
        </w:rPr>
      </w:pPr>
      <w:r>
        <w:rPr>
          <w:rFonts w:hint="eastAsia" w:ascii="仿宋_GB2312" w:hAnsi="仿宋" w:eastAsia="仿宋_GB2312" w:cs="仿宋"/>
          <w:sz w:val="32"/>
          <w:szCs w:val="32"/>
        </w:rPr>
        <w:t>（一）预存、套取会议费设立“小金库”的；</w:t>
      </w:r>
    </w:p>
    <w:p>
      <w:pPr>
        <w:spacing w:line="360" w:lineRule="auto"/>
        <w:ind w:firstLine="640" w:firstLineChars="200"/>
        <w:rPr>
          <w:rFonts w:ascii="仿宋_GB2312" w:hAnsi="仿宋" w:eastAsia="仿宋_GB2312" w:cs="仿宋"/>
          <w:sz w:val="32"/>
          <w:szCs w:val="32"/>
        </w:rPr>
      </w:pPr>
      <w:r>
        <w:rPr>
          <w:rFonts w:hint="eastAsia" w:ascii="仿宋_GB2312" w:hAnsi="仿宋" w:eastAsia="仿宋_GB2312" w:cs="仿宋"/>
          <w:sz w:val="32"/>
          <w:szCs w:val="32"/>
        </w:rPr>
        <w:t>（二）以虚报会议人数、天数等手段骗取会议费的；</w:t>
      </w:r>
    </w:p>
    <w:p>
      <w:pPr>
        <w:spacing w:line="360" w:lineRule="auto"/>
        <w:ind w:firstLine="640" w:firstLineChars="200"/>
        <w:rPr>
          <w:rFonts w:ascii="仿宋_GB2312" w:hAnsi="仿宋" w:eastAsia="仿宋_GB2312" w:cs="仿宋"/>
          <w:sz w:val="32"/>
          <w:szCs w:val="32"/>
        </w:rPr>
      </w:pPr>
      <w:r>
        <w:rPr>
          <w:rFonts w:hint="eastAsia" w:ascii="仿宋_GB2312" w:hAnsi="仿宋" w:eastAsia="仿宋_GB2312" w:cs="仿宋"/>
          <w:sz w:val="32"/>
          <w:szCs w:val="32"/>
        </w:rPr>
        <w:t>（三）违规扩大会议费开支范围，擅自提高会议费开支标准的；</w:t>
      </w:r>
    </w:p>
    <w:p>
      <w:pPr>
        <w:spacing w:line="360" w:lineRule="auto"/>
        <w:ind w:firstLine="640" w:firstLineChars="200"/>
        <w:rPr>
          <w:rFonts w:ascii="仿宋_GB2312" w:hAnsi="仿宋" w:eastAsia="仿宋_GB2312" w:cs="仿宋"/>
          <w:sz w:val="32"/>
          <w:szCs w:val="32"/>
        </w:rPr>
      </w:pPr>
      <w:r>
        <w:rPr>
          <w:rFonts w:hint="eastAsia" w:ascii="仿宋_GB2312" w:hAnsi="仿宋" w:eastAsia="仿宋_GB2312" w:cs="仿宋"/>
          <w:sz w:val="32"/>
          <w:szCs w:val="32"/>
        </w:rPr>
        <w:t>（四）违规报销与会议无关费用的；</w:t>
      </w:r>
    </w:p>
    <w:p>
      <w:pPr>
        <w:spacing w:line="360" w:lineRule="auto"/>
        <w:ind w:firstLine="640" w:firstLineChars="200"/>
        <w:rPr>
          <w:rFonts w:ascii="仿宋_GB2312" w:hAnsi="仿宋" w:eastAsia="仿宋_GB2312" w:cs="仿宋"/>
          <w:sz w:val="32"/>
          <w:szCs w:val="32"/>
        </w:rPr>
      </w:pPr>
      <w:r>
        <w:rPr>
          <w:rFonts w:hint="eastAsia" w:ascii="仿宋_GB2312" w:hAnsi="仿宋" w:eastAsia="仿宋_GB2312" w:cs="仿宋"/>
          <w:sz w:val="32"/>
          <w:szCs w:val="32"/>
        </w:rPr>
        <w:t>（五）其他违反本办法规定的。</w:t>
      </w:r>
    </w:p>
    <w:p>
      <w:pPr>
        <w:pStyle w:val="2"/>
        <w:rPr>
          <w:rFonts w:hint="eastAsia" w:ascii="黑体" w:hAnsi="黑体" w:eastAsia="黑体" w:cs="黑体"/>
          <w:b w:val="0"/>
          <w:bCs w:val="0"/>
        </w:rPr>
      </w:pPr>
      <w:r>
        <w:rPr>
          <w:rFonts w:hint="eastAsia" w:ascii="黑体" w:hAnsi="黑体" w:eastAsia="黑体" w:cs="黑体"/>
          <w:b w:val="0"/>
          <w:bCs w:val="0"/>
        </w:rPr>
        <w:t>第五章 附 则</w:t>
      </w:r>
    </w:p>
    <w:p>
      <w:pPr>
        <w:spacing w:line="360" w:lineRule="auto"/>
        <w:ind w:firstLine="643" w:firstLineChars="200"/>
        <w:rPr>
          <w:rFonts w:ascii="仿宋_GB2312" w:hAnsi="仿宋" w:eastAsia="仿宋_GB2312" w:cs="仿宋"/>
          <w:sz w:val="32"/>
          <w:szCs w:val="32"/>
        </w:rPr>
      </w:pPr>
      <w:r>
        <w:rPr>
          <w:rFonts w:hint="eastAsia" w:ascii="仿宋_GB2312" w:hAnsi="仿宋" w:eastAsia="仿宋_GB2312" w:cs="仿宋"/>
          <w:b/>
          <w:bCs/>
          <w:sz w:val="32"/>
          <w:szCs w:val="32"/>
        </w:rPr>
        <w:t>第二十</w:t>
      </w:r>
      <w:r>
        <w:rPr>
          <w:rFonts w:hint="eastAsia" w:ascii="仿宋_GB2312" w:hAnsi="仿宋" w:eastAsia="仿宋_GB2312" w:cs="仿宋"/>
          <w:b/>
          <w:bCs/>
          <w:sz w:val="32"/>
          <w:szCs w:val="32"/>
          <w:lang w:val="en-US" w:eastAsia="zh-CN"/>
        </w:rPr>
        <w:t>二</w:t>
      </w:r>
      <w:r>
        <w:rPr>
          <w:rFonts w:hint="eastAsia" w:ascii="仿宋_GB2312" w:hAnsi="仿宋" w:eastAsia="仿宋_GB2312" w:cs="仿宋"/>
          <w:b/>
          <w:bCs/>
          <w:sz w:val="32"/>
          <w:szCs w:val="32"/>
        </w:rPr>
        <w:t>条</w:t>
      </w:r>
      <w:r>
        <w:rPr>
          <w:rFonts w:hint="eastAsia" w:ascii="仿宋_GB2312" w:hAnsi="仿宋" w:eastAsia="仿宋_GB2312" w:cs="仿宋"/>
          <w:sz w:val="32"/>
          <w:szCs w:val="32"/>
        </w:rPr>
        <w:t xml:space="preserve">  本办法由计划财务处负责解释。</w:t>
      </w:r>
    </w:p>
    <w:p>
      <w:pPr>
        <w:spacing w:line="360" w:lineRule="auto"/>
        <w:ind w:firstLine="643" w:firstLineChars="200"/>
        <w:rPr>
          <w:rFonts w:ascii="仿宋_GB2312" w:hAnsi="仿宋" w:eastAsia="仿宋_GB2312" w:cs="仿宋"/>
          <w:b/>
          <w:bCs/>
          <w:sz w:val="32"/>
          <w:szCs w:val="32"/>
        </w:rPr>
      </w:pPr>
      <w:r>
        <w:rPr>
          <w:rFonts w:hint="eastAsia" w:ascii="仿宋_GB2312" w:hAnsi="仿宋" w:eastAsia="仿宋_GB2312" w:cs="仿宋"/>
          <w:b/>
          <w:bCs/>
          <w:sz w:val="32"/>
          <w:szCs w:val="32"/>
        </w:rPr>
        <w:t>第二十</w:t>
      </w:r>
      <w:r>
        <w:rPr>
          <w:rFonts w:hint="eastAsia" w:ascii="仿宋_GB2312" w:hAnsi="仿宋" w:eastAsia="仿宋_GB2312" w:cs="仿宋"/>
          <w:b/>
          <w:bCs/>
          <w:sz w:val="32"/>
          <w:szCs w:val="32"/>
          <w:lang w:val="en-US" w:eastAsia="zh-CN"/>
        </w:rPr>
        <w:t>三</w:t>
      </w:r>
      <w:r>
        <w:rPr>
          <w:rFonts w:hint="eastAsia" w:ascii="仿宋_GB2312" w:hAnsi="仿宋" w:eastAsia="仿宋_GB2312" w:cs="仿宋"/>
          <w:b/>
          <w:bCs/>
          <w:sz w:val="32"/>
          <w:szCs w:val="32"/>
        </w:rPr>
        <w:t xml:space="preserve">条  </w:t>
      </w:r>
      <w:r>
        <w:rPr>
          <w:rFonts w:hint="eastAsia" w:ascii="仿宋_GB2312" w:hAnsi="仿宋" w:eastAsia="仿宋_GB2312" w:cs="仿宋"/>
          <w:bCs/>
          <w:sz w:val="32"/>
          <w:szCs w:val="32"/>
        </w:rPr>
        <w:t>本办法中</w:t>
      </w:r>
      <w:r>
        <w:rPr>
          <w:rFonts w:hint="eastAsia" w:ascii="仿宋_GB2312" w:hAnsi="仿宋" w:eastAsia="仿宋_GB2312" w:cs="仿宋"/>
          <w:bCs/>
          <w:sz w:val="32"/>
          <w:szCs w:val="32"/>
          <w:lang w:eastAsia="zh-CN"/>
        </w:rPr>
        <w:t>，</w:t>
      </w:r>
      <w:r>
        <w:rPr>
          <w:rFonts w:hint="eastAsia" w:ascii="仿宋_GB2312" w:hAnsi="仿宋" w:eastAsia="仿宋_GB2312" w:cs="仿宋"/>
          <w:bCs/>
          <w:sz w:val="32"/>
          <w:szCs w:val="32"/>
          <w:lang w:val="en-US" w:eastAsia="zh-CN"/>
        </w:rPr>
        <w:t>关于</w:t>
      </w:r>
      <w:r>
        <w:rPr>
          <w:rFonts w:hint="eastAsia" w:ascii="仿宋_GB2312" w:hAnsi="仿宋" w:eastAsia="仿宋_GB2312" w:cs="仿宋"/>
          <w:bCs/>
          <w:sz w:val="32"/>
          <w:szCs w:val="32"/>
        </w:rPr>
        <w:t>在华举办国</w:t>
      </w:r>
      <w:r>
        <w:rPr>
          <w:rFonts w:hint="eastAsia" w:ascii="仿宋_GB2312" w:hAnsi="仿宋" w:eastAsia="仿宋_GB2312" w:cs="仿宋"/>
          <w:bCs/>
          <w:sz w:val="32"/>
          <w:szCs w:val="32"/>
          <w:lang w:val="en-US" w:eastAsia="zh-CN"/>
        </w:rPr>
        <w:t>际</w:t>
      </w:r>
      <w:r>
        <w:rPr>
          <w:rFonts w:hint="eastAsia" w:ascii="仿宋_GB2312" w:hAnsi="仿宋" w:eastAsia="仿宋_GB2312" w:cs="仿宋"/>
          <w:bCs/>
          <w:sz w:val="32"/>
          <w:szCs w:val="32"/>
        </w:rPr>
        <w:t>会议</w:t>
      </w:r>
      <w:r>
        <w:rPr>
          <w:rFonts w:hint="eastAsia" w:ascii="仿宋_GB2312" w:hAnsi="仿宋" w:eastAsia="仿宋_GB2312" w:cs="仿宋"/>
          <w:bCs/>
          <w:sz w:val="32"/>
          <w:szCs w:val="32"/>
          <w:lang w:val="en-US" w:eastAsia="zh-CN"/>
        </w:rPr>
        <w:t>相关</w:t>
      </w:r>
      <w:r>
        <w:rPr>
          <w:rFonts w:hint="eastAsia" w:ascii="仿宋_GB2312" w:hAnsi="仿宋" w:eastAsia="仿宋_GB2312" w:cs="仿宋"/>
          <w:bCs/>
          <w:sz w:val="32"/>
          <w:szCs w:val="32"/>
        </w:rPr>
        <w:t>未尽事宜，</w:t>
      </w:r>
      <w:r>
        <w:rPr>
          <w:rFonts w:hint="eastAsia" w:ascii="仿宋_GB2312" w:hAnsi="仿宋" w:eastAsia="仿宋_GB2312" w:cs="仿宋"/>
          <w:bCs/>
          <w:sz w:val="32"/>
          <w:szCs w:val="32"/>
          <w:lang w:val="en-US" w:eastAsia="zh-CN"/>
        </w:rPr>
        <w:t>参照财政部</w:t>
      </w:r>
      <w:r>
        <w:rPr>
          <w:rFonts w:hint="eastAsia" w:ascii="仿宋_GB2312" w:hAnsi="仿宋" w:eastAsia="仿宋_GB2312" w:cs="仿宋"/>
          <w:bCs/>
          <w:sz w:val="32"/>
          <w:szCs w:val="32"/>
        </w:rPr>
        <w:t>《在华举办国际会议经费管理办法》</w:t>
      </w:r>
      <w:r>
        <w:rPr>
          <w:rFonts w:hint="eastAsia" w:ascii="仿宋_GB2312" w:hAnsi="仿宋" w:eastAsia="仿宋_GB2312" w:cs="仿宋"/>
          <w:bCs/>
          <w:sz w:val="32"/>
          <w:szCs w:val="32"/>
          <w:lang w:eastAsia="zh-CN"/>
        </w:rPr>
        <w:t>（</w:t>
      </w:r>
      <w:r>
        <w:rPr>
          <w:rFonts w:hint="eastAsia" w:ascii="仿宋_GB2312" w:hAnsi="仿宋" w:eastAsia="仿宋_GB2312" w:cs="仿宋"/>
          <w:bCs/>
          <w:sz w:val="32"/>
          <w:szCs w:val="32"/>
          <w:lang w:val="en-US" w:eastAsia="zh-CN"/>
        </w:rPr>
        <w:t>财行</w:t>
      </w:r>
      <w:bookmarkStart w:id="22" w:name="OLE_LINK1"/>
      <w:bookmarkStart w:id="23" w:name="OLE_LINK17"/>
      <w:r>
        <w:rPr>
          <w:rFonts w:hint="eastAsia" w:ascii="仿宋_GB2312" w:hAnsi="仿宋" w:eastAsia="仿宋_GB2312" w:cs="仿宋"/>
          <w:bCs/>
          <w:sz w:val="32"/>
          <w:szCs w:val="32"/>
        </w:rPr>
        <w:t>〔2015〕</w:t>
      </w:r>
      <w:bookmarkEnd w:id="22"/>
      <w:r>
        <w:rPr>
          <w:rFonts w:hint="eastAsia" w:ascii="仿宋_GB2312" w:hAnsi="仿宋" w:eastAsia="仿宋_GB2312" w:cs="仿宋"/>
          <w:bCs/>
          <w:sz w:val="32"/>
          <w:szCs w:val="32"/>
          <w:lang w:val="en-US" w:eastAsia="zh-CN"/>
        </w:rPr>
        <w:t>371号</w:t>
      </w:r>
      <w:bookmarkEnd w:id="23"/>
      <w:r>
        <w:rPr>
          <w:rFonts w:hint="eastAsia" w:ascii="仿宋_GB2312" w:hAnsi="仿宋" w:eastAsia="仿宋_GB2312" w:cs="仿宋"/>
          <w:bCs/>
          <w:sz w:val="32"/>
          <w:szCs w:val="32"/>
          <w:lang w:eastAsia="zh-CN"/>
        </w:rPr>
        <w:t>）</w:t>
      </w:r>
      <w:r>
        <w:rPr>
          <w:rFonts w:hint="eastAsia" w:ascii="仿宋_GB2312" w:hAnsi="仿宋" w:eastAsia="仿宋_GB2312" w:cs="仿宋"/>
          <w:bCs/>
          <w:sz w:val="32"/>
          <w:szCs w:val="32"/>
          <w:lang w:val="en-US" w:eastAsia="zh-CN"/>
        </w:rPr>
        <w:t>执行</w:t>
      </w:r>
      <w:r>
        <w:rPr>
          <w:rFonts w:hint="eastAsia" w:ascii="仿宋_GB2312" w:hAnsi="仿宋" w:eastAsia="仿宋_GB2312" w:cs="仿宋"/>
          <w:bCs/>
          <w:sz w:val="32"/>
          <w:szCs w:val="32"/>
        </w:rPr>
        <w:t>。</w:t>
      </w:r>
    </w:p>
    <w:p>
      <w:pPr>
        <w:spacing w:line="360" w:lineRule="auto"/>
        <w:ind w:firstLine="643" w:firstLineChars="200"/>
        <w:rPr>
          <w:rFonts w:ascii="仿宋_GB2312" w:hAnsi="仿宋" w:eastAsia="仿宋_GB2312" w:cs="仿宋"/>
          <w:sz w:val="32"/>
          <w:szCs w:val="32"/>
        </w:rPr>
      </w:pPr>
      <w:r>
        <w:rPr>
          <w:rFonts w:hint="eastAsia" w:ascii="仿宋_GB2312" w:hAnsi="仿宋" w:eastAsia="仿宋_GB2312" w:cs="仿宋"/>
          <w:b/>
          <w:bCs/>
          <w:sz w:val="32"/>
          <w:szCs w:val="32"/>
        </w:rPr>
        <w:t>第二</w:t>
      </w:r>
      <w:bookmarkStart w:id="24" w:name="OLE_LINK19"/>
      <w:bookmarkStart w:id="25" w:name="OLE_LINK20"/>
      <w:r>
        <w:rPr>
          <w:rFonts w:hint="eastAsia" w:ascii="仿宋_GB2312" w:hAnsi="仿宋" w:eastAsia="仿宋_GB2312" w:cs="仿宋"/>
          <w:b/>
          <w:bCs/>
          <w:sz w:val="32"/>
          <w:szCs w:val="32"/>
        </w:rPr>
        <w:t>十</w:t>
      </w:r>
      <w:bookmarkEnd w:id="24"/>
      <w:bookmarkEnd w:id="25"/>
      <w:r>
        <w:rPr>
          <w:rFonts w:hint="eastAsia" w:ascii="仿宋_GB2312" w:hAnsi="仿宋" w:eastAsia="仿宋_GB2312" w:cs="仿宋"/>
          <w:b/>
          <w:bCs/>
          <w:sz w:val="32"/>
          <w:szCs w:val="32"/>
          <w:lang w:val="en-US" w:eastAsia="zh-CN"/>
        </w:rPr>
        <w:t>四</w:t>
      </w:r>
      <w:r>
        <w:rPr>
          <w:rFonts w:hint="eastAsia" w:ascii="仿宋_GB2312" w:hAnsi="仿宋" w:eastAsia="仿宋_GB2312" w:cs="仿宋"/>
          <w:b/>
          <w:bCs/>
          <w:sz w:val="32"/>
          <w:szCs w:val="32"/>
        </w:rPr>
        <w:t>条</w:t>
      </w:r>
      <w:r>
        <w:rPr>
          <w:rFonts w:hint="eastAsia" w:ascii="仿宋_GB2312" w:hAnsi="仿宋" w:eastAsia="仿宋_GB2312" w:cs="仿宋"/>
          <w:sz w:val="32"/>
          <w:szCs w:val="32"/>
        </w:rPr>
        <w:t xml:space="preserve">  本办法经2016年 月 日校长办公会议审议通过，自2016年9月1日起执行。</w:t>
      </w:r>
    </w:p>
    <w:p>
      <w:pPr>
        <w:spacing w:line="360" w:lineRule="auto"/>
        <w:ind w:firstLine="640" w:firstLineChars="200"/>
        <w:rPr>
          <w:rFonts w:hint="eastAsia" w:ascii="仿宋_GB2312" w:hAnsi="仿宋" w:eastAsia="仿宋_GB2312" w:cs="仿宋"/>
          <w:sz w:val="32"/>
          <w:szCs w:val="32"/>
        </w:rPr>
      </w:pPr>
    </w:p>
    <w:p>
      <w:pPr>
        <w:spacing w:line="360" w:lineRule="auto"/>
        <w:ind w:firstLine="640" w:firstLineChars="200"/>
        <w:rPr>
          <w:rFonts w:hint="eastAsia" w:ascii="仿宋_GB2312" w:hAnsi="仿宋" w:eastAsia="仿宋_GB2312" w:cs="仿宋"/>
          <w:sz w:val="32"/>
          <w:szCs w:val="32"/>
        </w:rPr>
      </w:pPr>
    </w:p>
    <w:p>
      <w:pPr>
        <w:spacing w:line="360" w:lineRule="auto"/>
        <w:ind w:firstLine="640" w:firstLineChars="200"/>
        <w:rPr>
          <w:rFonts w:ascii="仿宋_GB2312" w:hAnsi="仿宋" w:eastAsia="仿宋_GB2312" w:cs="仿宋"/>
          <w:sz w:val="32"/>
          <w:szCs w:val="32"/>
        </w:rPr>
      </w:pPr>
      <w:r>
        <w:rPr>
          <w:rFonts w:hint="eastAsia" w:ascii="仿宋_GB2312" w:hAnsi="仿宋" w:eastAsia="仿宋_GB2312" w:cs="仿宋"/>
          <w:sz w:val="32"/>
          <w:szCs w:val="32"/>
        </w:rPr>
        <w:t>附件：</w:t>
      </w:r>
    </w:p>
    <w:p>
      <w:pPr>
        <w:spacing w:line="360" w:lineRule="auto"/>
        <w:ind w:firstLine="1120" w:firstLineChars="350"/>
        <w:rPr>
          <w:rFonts w:ascii="仿宋_GB2312" w:hAnsi="仿宋" w:eastAsia="仿宋_GB2312" w:cs="仿宋"/>
          <w:sz w:val="32"/>
          <w:szCs w:val="32"/>
        </w:rPr>
      </w:pPr>
      <w:r>
        <w:rPr>
          <w:rFonts w:hint="eastAsia" w:ascii="仿宋_GB2312" w:hAnsi="仿宋" w:eastAsia="仿宋_GB2312" w:cs="仿宋"/>
          <w:sz w:val="32"/>
          <w:szCs w:val="32"/>
        </w:rPr>
        <w:t>1.西北农林科技大学举办会议申请表</w:t>
      </w:r>
    </w:p>
    <w:p>
      <w:pPr>
        <w:spacing w:line="360" w:lineRule="auto"/>
        <w:ind w:firstLine="640" w:firstLineChars="200"/>
        <w:rPr>
          <w:rFonts w:ascii="仿宋_GB2312" w:hAnsi="仿宋" w:eastAsia="仿宋_GB2312" w:cs="仿宋"/>
          <w:sz w:val="32"/>
          <w:szCs w:val="32"/>
        </w:rPr>
      </w:pPr>
      <w:r>
        <w:rPr>
          <w:rFonts w:hint="eastAsia" w:ascii="仿宋_GB2312" w:hAnsi="仿宋" w:eastAsia="仿宋_GB2312" w:cs="仿宋"/>
          <w:sz w:val="32"/>
          <w:szCs w:val="32"/>
        </w:rPr>
        <w:t xml:space="preserve">   2.西北农林科技大学会议参会人员签到表</w:t>
      </w:r>
    </w:p>
    <w:p>
      <w:pPr>
        <w:spacing w:line="360" w:lineRule="auto"/>
        <w:rPr>
          <w:rFonts w:hint="eastAsia" w:ascii="仿宋" w:hAnsi="仿宋" w:eastAsia="仿宋" w:cs="仿宋"/>
          <w:sz w:val="32"/>
          <w:szCs w:val="32"/>
        </w:rPr>
      </w:pPr>
    </w:p>
    <w:p>
      <w:pPr>
        <w:spacing w:line="360" w:lineRule="auto"/>
        <w:rPr>
          <w:rFonts w:hint="eastAsia" w:ascii="仿宋" w:hAnsi="仿宋" w:eastAsia="仿宋" w:cs="仿宋"/>
          <w:szCs w:val="21"/>
        </w:rPr>
      </w:pPr>
    </w:p>
    <w:p>
      <w:pPr>
        <w:spacing w:line="360" w:lineRule="auto"/>
        <w:rPr>
          <w:rFonts w:hint="eastAsia" w:ascii="仿宋" w:hAnsi="仿宋" w:eastAsia="仿宋" w:cs="仿宋"/>
          <w:szCs w:val="21"/>
        </w:rPr>
      </w:pPr>
    </w:p>
    <w:p>
      <w:pPr>
        <w:spacing w:line="360" w:lineRule="auto"/>
        <w:rPr>
          <w:rFonts w:hint="eastAsia" w:ascii="仿宋" w:hAnsi="仿宋" w:eastAsia="仿宋" w:cs="仿宋"/>
          <w:szCs w:val="21"/>
        </w:rPr>
      </w:pPr>
    </w:p>
    <w:p>
      <w:pPr>
        <w:spacing w:line="360" w:lineRule="auto"/>
        <w:rPr>
          <w:rFonts w:hint="eastAsia" w:ascii="仿宋" w:hAnsi="仿宋" w:eastAsia="仿宋" w:cs="仿宋"/>
          <w:szCs w:val="21"/>
        </w:rPr>
      </w:pPr>
    </w:p>
    <w:p>
      <w:pPr>
        <w:spacing w:line="360" w:lineRule="auto"/>
        <w:rPr>
          <w:rFonts w:hint="eastAsia" w:ascii="仿宋" w:hAnsi="仿宋" w:eastAsia="仿宋" w:cs="仿宋"/>
          <w:szCs w:val="21"/>
        </w:rPr>
      </w:pPr>
    </w:p>
    <w:p>
      <w:pPr>
        <w:spacing w:line="360" w:lineRule="auto"/>
        <w:rPr>
          <w:rFonts w:hint="eastAsia" w:ascii="仿宋" w:hAnsi="仿宋" w:eastAsia="仿宋" w:cs="仿宋"/>
          <w:szCs w:val="21"/>
        </w:rPr>
      </w:pPr>
    </w:p>
    <w:p>
      <w:pPr>
        <w:spacing w:line="360" w:lineRule="auto"/>
        <w:rPr>
          <w:rFonts w:hint="eastAsia" w:ascii="仿宋" w:hAnsi="仿宋" w:eastAsia="仿宋" w:cs="仿宋"/>
          <w:szCs w:val="21"/>
        </w:rPr>
      </w:pPr>
    </w:p>
    <w:p>
      <w:pPr>
        <w:spacing w:line="360" w:lineRule="auto"/>
        <w:rPr>
          <w:rFonts w:hint="eastAsia" w:ascii="仿宋" w:hAnsi="仿宋" w:eastAsia="仿宋" w:cs="仿宋"/>
          <w:szCs w:val="21"/>
        </w:rPr>
      </w:pPr>
    </w:p>
    <w:p>
      <w:pPr>
        <w:spacing w:line="360" w:lineRule="auto"/>
        <w:rPr>
          <w:rFonts w:hint="eastAsia" w:ascii="仿宋" w:hAnsi="仿宋" w:eastAsia="仿宋" w:cs="仿宋"/>
          <w:szCs w:val="21"/>
        </w:rPr>
      </w:pPr>
    </w:p>
    <w:p>
      <w:pPr>
        <w:spacing w:line="360" w:lineRule="auto"/>
        <w:rPr>
          <w:rFonts w:hint="eastAsia" w:ascii="仿宋" w:hAnsi="仿宋" w:eastAsia="仿宋" w:cs="仿宋"/>
          <w:szCs w:val="21"/>
        </w:rPr>
      </w:pPr>
    </w:p>
    <w:p>
      <w:pPr>
        <w:spacing w:line="360" w:lineRule="auto"/>
        <w:rPr>
          <w:rFonts w:hint="eastAsia" w:ascii="仿宋" w:hAnsi="仿宋" w:eastAsia="仿宋" w:cs="仿宋"/>
          <w:szCs w:val="21"/>
        </w:rPr>
      </w:pPr>
    </w:p>
    <w:p>
      <w:pPr>
        <w:spacing w:line="360" w:lineRule="auto"/>
        <w:rPr>
          <w:rFonts w:hint="eastAsia" w:ascii="仿宋" w:hAnsi="仿宋" w:eastAsia="仿宋" w:cs="仿宋"/>
          <w:szCs w:val="21"/>
        </w:rPr>
      </w:pPr>
    </w:p>
    <w:p>
      <w:pPr>
        <w:spacing w:line="360" w:lineRule="auto"/>
        <w:rPr>
          <w:rFonts w:ascii="仿宋" w:hAnsi="仿宋" w:eastAsia="仿宋" w:cs="仿宋"/>
          <w:szCs w:val="21"/>
        </w:rPr>
      </w:pPr>
      <w:r>
        <w:rPr>
          <w:rFonts w:hint="eastAsia" w:ascii="仿宋" w:hAnsi="仿宋" w:eastAsia="仿宋" w:cs="仿宋"/>
          <w:szCs w:val="21"/>
        </w:rPr>
        <w:t>附件1：</w:t>
      </w:r>
    </w:p>
    <w:p>
      <w:pPr>
        <w:pStyle w:val="19"/>
      </w:pPr>
      <w:r>
        <w:t>窗体顶端</w:t>
      </w:r>
    </w:p>
    <w:p>
      <w:pPr>
        <w:pStyle w:val="17"/>
        <w:widowControl/>
        <w:spacing w:beforeAutospacing="0" w:afterAutospacing="0" w:line="27" w:lineRule="atLeast"/>
        <w:ind w:left="300"/>
        <w:jc w:val="center"/>
        <w:rPr>
          <w:rFonts w:ascii="黑体" w:hAnsi="黑体" w:eastAsia="黑体" w:cs="黑体"/>
          <w:sz w:val="32"/>
          <w:szCs w:val="32"/>
        </w:rPr>
      </w:pPr>
      <w:r>
        <w:rPr>
          <w:rStyle w:val="8"/>
          <w:rFonts w:hint="eastAsia" w:ascii="黑体" w:hAnsi="黑体" w:eastAsia="黑体" w:cs="黑体"/>
          <w:color w:val="323232"/>
          <w:sz w:val="32"/>
          <w:szCs w:val="32"/>
        </w:rPr>
        <w:t>西北农林科技大学举办会议</w:t>
      </w:r>
      <w:r>
        <w:rPr>
          <w:rStyle w:val="8"/>
          <w:rFonts w:hint="eastAsia" w:ascii="黑体" w:hAnsi="黑体" w:eastAsia="黑体" w:cs="黑体"/>
          <w:color w:val="323232"/>
          <w:sz w:val="32"/>
          <w:szCs w:val="32"/>
          <w:lang w:val="en-US" w:eastAsia="zh-CN"/>
        </w:rPr>
        <w:t>审批</w:t>
      </w:r>
      <w:r>
        <w:rPr>
          <w:rStyle w:val="8"/>
          <w:rFonts w:hint="eastAsia" w:ascii="黑体" w:hAnsi="黑体" w:eastAsia="黑体" w:cs="黑体"/>
          <w:color w:val="323232"/>
          <w:sz w:val="32"/>
          <w:szCs w:val="32"/>
        </w:rPr>
        <w:t>表</w:t>
      </w:r>
    </w:p>
    <w:p>
      <w:pPr>
        <w:pStyle w:val="17"/>
        <w:widowControl/>
        <w:spacing w:beforeAutospacing="0" w:afterAutospacing="0" w:line="27" w:lineRule="atLeast"/>
        <w:ind w:left="300"/>
        <w:rPr>
          <w:sz w:val="21"/>
          <w:szCs w:val="21"/>
        </w:rPr>
      </w:pPr>
      <w:r>
        <w:rPr>
          <w:rFonts w:hint="eastAsia" w:ascii="宋体" w:hAnsi="宋体" w:cs="宋体"/>
          <w:color w:val="323232"/>
          <w:sz w:val="21"/>
          <w:szCs w:val="21"/>
        </w:rPr>
        <w:t>申请单位：</w:t>
      </w:r>
    </w:p>
    <w:tbl>
      <w:tblPr>
        <w:tblStyle w:val="11"/>
        <w:tblW w:w="8700" w:type="dxa"/>
        <w:jc w:val="center"/>
        <w:tblCellSpacing w:w="0" w:type="dxa"/>
        <w:tblInd w:w="-182"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
      <w:tblGrid>
        <w:gridCol w:w="570"/>
        <w:gridCol w:w="1080"/>
        <w:gridCol w:w="840"/>
        <w:gridCol w:w="1290"/>
        <w:gridCol w:w="495"/>
        <w:gridCol w:w="1605"/>
        <w:gridCol w:w="282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405" w:hRule="atLeast"/>
          <w:tblCellSpacing w:w="0" w:type="dxa"/>
          <w:jc w:val="center"/>
        </w:trPr>
        <w:tc>
          <w:tcPr>
            <w:tcW w:w="1650" w:type="dxa"/>
            <w:gridSpan w:val="2"/>
            <w:vAlign w:val="center"/>
          </w:tcPr>
          <w:p>
            <w:pPr>
              <w:pStyle w:val="17"/>
              <w:widowControl/>
              <w:jc w:val="center"/>
              <w:rPr>
                <w:sz w:val="21"/>
                <w:szCs w:val="21"/>
              </w:rPr>
            </w:pPr>
            <w:r>
              <w:rPr>
                <w:rFonts w:hint="eastAsia" w:ascii="宋体" w:hAnsi="宋体" w:cs="宋体"/>
                <w:color w:val="323232"/>
                <w:sz w:val="21"/>
                <w:szCs w:val="21"/>
              </w:rPr>
              <w:t>会议名称</w:t>
            </w:r>
          </w:p>
        </w:tc>
        <w:tc>
          <w:tcPr>
            <w:tcW w:w="7050" w:type="dxa"/>
            <w:gridSpan w:val="5"/>
            <w:vAlign w:val="center"/>
          </w:tcPr>
          <w:p>
            <w:pPr>
              <w:jc w:val="center"/>
              <w:rPr>
                <w:rFonts w:ascii="宋体" w:hAnsi="宋体" w:cs="宋体"/>
                <w:color w:val="323232"/>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405" w:hRule="atLeast"/>
          <w:tblCellSpacing w:w="0" w:type="dxa"/>
          <w:jc w:val="center"/>
        </w:trPr>
        <w:tc>
          <w:tcPr>
            <w:tcW w:w="1650" w:type="dxa"/>
            <w:gridSpan w:val="2"/>
            <w:vAlign w:val="center"/>
          </w:tcPr>
          <w:p>
            <w:pPr>
              <w:pStyle w:val="17"/>
              <w:widowControl/>
              <w:jc w:val="center"/>
              <w:rPr>
                <w:sz w:val="21"/>
                <w:szCs w:val="21"/>
              </w:rPr>
            </w:pPr>
            <w:r>
              <w:rPr>
                <w:rFonts w:hint="eastAsia" w:ascii="宋体" w:hAnsi="宋体" w:cs="宋体"/>
                <w:color w:val="323232"/>
                <w:sz w:val="21"/>
                <w:szCs w:val="21"/>
              </w:rPr>
              <w:t>会议类别</w:t>
            </w:r>
          </w:p>
        </w:tc>
        <w:tc>
          <w:tcPr>
            <w:tcW w:w="2625" w:type="dxa"/>
            <w:gridSpan w:val="3"/>
            <w:vAlign w:val="center"/>
          </w:tcPr>
          <w:p>
            <w:pPr>
              <w:jc w:val="center"/>
              <w:rPr>
                <w:rFonts w:ascii="宋体" w:hAnsi="宋体" w:cs="宋体"/>
                <w:color w:val="323232"/>
                <w:szCs w:val="21"/>
              </w:rPr>
            </w:pPr>
          </w:p>
        </w:tc>
        <w:tc>
          <w:tcPr>
            <w:tcW w:w="1605" w:type="dxa"/>
            <w:vAlign w:val="center"/>
          </w:tcPr>
          <w:p>
            <w:pPr>
              <w:pStyle w:val="17"/>
              <w:widowControl/>
              <w:jc w:val="center"/>
              <w:rPr>
                <w:sz w:val="21"/>
                <w:szCs w:val="21"/>
              </w:rPr>
            </w:pPr>
            <w:r>
              <w:rPr>
                <w:rFonts w:hint="eastAsia" w:ascii="宋体" w:hAnsi="宋体" w:cs="宋体"/>
                <w:color w:val="323232"/>
                <w:sz w:val="21"/>
                <w:szCs w:val="21"/>
              </w:rPr>
              <w:t>会议地点</w:t>
            </w:r>
          </w:p>
        </w:tc>
        <w:tc>
          <w:tcPr>
            <w:tcW w:w="2820" w:type="dxa"/>
            <w:vAlign w:val="center"/>
          </w:tcPr>
          <w:p>
            <w:pPr>
              <w:jc w:val="center"/>
              <w:rPr>
                <w:rFonts w:ascii="宋体" w:hAnsi="宋体" w:cs="宋体"/>
                <w:color w:val="323232"/>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405" w:hRule="atLeast"/>
          <w:tblCellSpacing w:w="0" w:type="dxa"/>
          <w:jc w:val="center"/>
        </w:trPr>
        <w:tc>
          <w:tcPr>
            <w:tcW w:w="1650" w:type="dxa"/>
            <w:gridSpan w:val="2"/>
            <w:vAlign w:val="center"/>
          </w:tcPr>
          <w:p>
            <w:pPr>
              <w:pStyle w:val="17"/>
              <w:widowControl/>
              <w:jc w:val="center"/>
              <w:rPr>
                <w:sz w:val="21"/>
                <w:szCs w:val="21"/>
              </w:rPr>
            </w:pPr>
            <w:r>
              <w:rPr>
                <w:rFonts w:hint="eastAsia" w:ascii="宋体" w:hAnsi="宋体" w:cs="宋体"/>
                <w:color w:val="323232"/>
                <w:sz w:val="21"/>
                <w:szCs w:val="21"/>
              </w:rPr>
              <w:t>会议日期</w:t>
            </w:r>
          </w:p>
        </w:tc>
        <w:tc>
          <w:tcPr>
            <w:tcW w:w="2625" w:type="dxa"/>
            <w:gridSpan w:val="3"/>
            <w:vAlign w:val="center"/>
          </w:tcPr>
          <w:p>
            <w:pPr>
              <w:jc w:val="center"/>
              <w:rPr>
                <w:rFonts w:ascii="宋体" w:hAnsi="宋体" w:cs="宋体"/>
                <w:color w:val="323232"/>
                <w:szCs w:val="21"/>
              </w:rPr>
            </w:pPr>
          </w:p>
        </w:tc>
        <w:tc>
          <w:tcPr>
            <w:tcW w:w="1605" w:type="dxa"/>
            <w:vAlign w:val="center"/>
          </w:tcPr>
          <w:p>
            <w:pPr>
              <w:pStyle w:val="17"/>
              <w:widowControl/>
              <w:jc w:val="center"/>
              <w:rPr>
                <w:sz w:val="21"/>
                <w:szCs w:val="21"/>
              </w:rPr>
            </w:pPr>
            <w:r>
              <w:rPr>
                <w:rFonts w:hint="eastAsia" w:ascii="宋体" w:hAnsi="宋体" w:cs="宋体"/>
                <w:color w:val="323232"/>
                <w:sz w:val="21"/>
                <w:szCs w:val="21"/>
              </w:rPr>
              <w:t>会议天数</w:t>
            </w:r>
          </w:p>
        </w:tc>
        <w:tc>
          <w:tcPr>
            <w:tcW w:w="2820" w:type="dxa"/>
            <w:vAlign w:val="center"/>
          </w:tcPr>
          <w:p>
            <w:pPr>
              <w:jc w:val="center"/>
              <w:rPr>
                <w:rFonts w:ascii="宋体" w:hAnsi="宋体" w:cs="宋体"/>
                <w:color w:val="323232"/>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405" w:hRule="atLeast"/>
          <w:tblCellSpacing w:w="0" w:type="dxa"/>
          <w:jc w:val="center"/>
        </w:trPr>
        <w:tc>
          <w:tcPr>
            <w:tcW w:w="1650" w:type="dxa"/>
            <w:gridSpan w:val="2"/>
            <w:vAlign w:val="center"/>
          </w:tcPr>
          <w:p>
            <w:pPr>
              <w:pStyle w:val="17"/>
              <w:widowControl/>
              <w:jc w:val="center"/>
              <w:rPr>
                <w:sz w:val="21"/>
                <w:szCs w:val="21"/>
              </w:rPr>
            </w:pPr>
            <w:r>
              <w:rPr>
                <w:rFonts w:hint="eastAsia" w:ascii="宋体" w:hAnsi="宋体" w:cs="宋体"/>
                <w:color w:val="323232"/>
                <w:sz w:val="21"/>
                <w:szCs w:val="21"/>
                <w:lang w:val="en-US" w:eastAsia="zh-CN"/>
              </w:rPr>
              <w:t>代表</w:t>
            </w:r>
            <w:r>
              <w:rPr>
                <w:rFonts w:hint="eastAsia" w:ascii="宋体" w:hAnsi="宋体" w:cs="宋体"/>
                <w:color w:val="323232"/>
                <w:sz w:val="21"/>
                <w:szCs w:val="21"/>
              </w:rPr>
              <w:t>人数</w:t>
            </w:r>
          </w:p>
        </w:tc>
        <w:tc>
          <w:tcPr>
            <w:tcW w:w="2625" w:type="dxa"/>
            <w:gridSpan w:val="3"/>
            <w:vAlign w:val="center"/>
          </w:tcPr>
          <w:p>
            <w:pPr>
              <w:jc w:val="center"/>
              <w:rPr>
                <w:rFonts w:ascii="宋体" w:hAnsi="宋体" w:cs="宋体"/>
                <w:color w:val="323232"/>
                <w:szCs w:val="21"/>
              </w:rPr>
            </w:pPr>
          </w:p>
        </w:tc>
        <w:tc>
          <w:tcPr>
            <w:tcW w:w="1605" w:type="dxa"/>
            <w:vAlign w:val="center"/>
          </w:tcPr>
          <w:p>
            <w:pPr>
              <w:pStyle w:val="17"/>
              <w:widowControl/>
              <w:jc w:val="center"/>
              <w:rPr>
                <w:sz w:val="21"/>
                <w:szCs w:val="21"/>
              </w:rPr>
            </w:pPr>
            <w:r>
              <w:rPr>
                <w:rFonts w:hint="eastAsia" w:ascii="宋体" w:hAnsi="宋体" w:cs="宋体"/>
                <w:color w:val="323232"/>
                <w:sz w:val="21"/>
                <w:szCs w:val="21"/>
              </w:rPr>
              <w:t>工作人员数</w:t>
            </w:r>
          </w:p>
        </w:tc>
        <w:tc>
          <w:tcPr>
            <w:tcW w:w="2820" w:type="dxa"/>
            <w:vAlign w:val="center"/>
          </w:tcPr>
          <w:p>
            <w:pPr>
              <w:jc w:val="center"/>
              <w:rPr>
                <w:rFonts w:ascii="宋体" w:hAnsi="宋体" w:cs="宋体"/>
                <w:color w:val="323232"/>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071" w:hRule="atLeast"/>
          <w:tblCellSpacing w:w="0" w:type="dxa"/>
          <w:jc w:val="center"/>
        </w:trPr>
        <w:tc>
          <w:tcPr>
            <w:tcW w:w="1650" w:type="dxa"/>
            <w:gridSpan w:val="2"/>
            <w:vAlign w:val="center"/>
          </w:tcPr>
          <w:p>
            <w:pPr>
              <w:pStyle w:val="17"/>
              <w:widowControl/>
              <w:jc w:val="center"/>
              <w:rPr>
                <w:rFonts w:hint="eastAsia" w:ascii="宋体" w:hAnsi="宋体" w:eastAsia="宋体" w:cs="宋体"/>
                <w:color w:val="323232"/>
                <w:sz w:val="21"/>
                <w:szCs w:val="21"/>
                <w:lang w:eastAsia="zh-CN"/>
              </w:rPr>
            </w:pPr>
            <w:r>
              <w:rPr>
                <w:rFonts w:hint="eastAsia" w:ascii="宋体" w:hAnsi="宋体" w:cs="宋体"/>
                <w:color w:val="323232"/>
                <w:sz w:val="21"/>
                <w:szCs w:val="21"/>
                <w:lang w:val="en-US" w:eastAsia="zh-CN"/>
              </w:rPr>
              <w:t>主要内容</w:t>
            </w:r>
          </w:p>
        </w:tc>
        <w:tc>
          <w:tcPr>
            <w:tcW w:w="7050" w:type="dxa"/>
            <w:gridSpan w:val="5"/>
            <w:vAlign w:val="center"/>
          </w:tcPr>
          <w:p>
            <w:pPr>
              <w:jc w:val="center"/>
              <w:rPr>
                <w:rFonts w:ascii="宋体" w:hAnsi="宋体" w:cs="宋体"/>
                <w:color w:val="323232"/>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527" w:hRule="atLeast"/>
          <w:tblCellSpacing w:w="0" w:type="dxa"/>
          <w:jc w:val="center"/>
        </w:trPr>
        <w:tc>
          <w:tcPr>
            <w:tcW w:w="1650" w:type="dxa"/>
            <w:gridSpan w:val="2"/>
            <w:vAlign w:val="center"/>
          </w:tcPr>
          <w:p>
            <w:pPr>
              <w:pStyle w:val="17"/>
              <w:widowControl/>
              <w:jc w:val="center"/>
              <w:rPr>
                <w:sz w:val="21"/>
                <w:szCs w:val="21"/>
              </w:rPr>
            </w:pPr>
            <w:r>
              <w:rPr>
                <w:rFonts w:hint="eastAsia" w:ascii="宋体" w:hAnsi="宋体" w:cs="宋体"/>
                <w:color w:val="323232"/>
                <w:sz w:val="21"/>
                <w:szCs w:val="21"/>
              </w:rPr>
              <w:t xml:space="preserve">经费来源 </w:t>
            </w:r>
          </w:p>
        </w:tc>
        <w:tc>
          <w:tcPr>
            <w:tcW w:w="7050" w:type="dxa"/>
            <w:gridSpan w:val="5"/>
            <w:vAlign w:val="center"/>
          </w:tcPr>
          <w:p>
            <w:pPr>
              <w:pStyle w:val="17"/>
              <w:widowControl/>
              <w:spacing w:before="100" w:after="100" w:line="240" w:lineRule="exact"/>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blCellSpacing w:w="0" w:type="dxa"/>
          <w:jc w:val="center"/>
        </w:trPr>
        <w:tc>
          <w:tcPr>
            <w:tcW w:w="570" w:type="dxa"/>
            <w:vMerge w:val="restart"/>
            <w:vAlign w:val="center"/>
          </w:tcPr>
          <w:p>
            <w:pPr>
              <w:jc w:val="center"/>
            </w:pPr>
            <w:r>
              <w:rPr>
                <w:rFonts w:hint="eastAsia"/>
              </w:rPr>
              <w:t>会</w:t>
            </w:r>
          </w:p>
          <w:p>
            <w:pPr>
              <w:jc w:val="center"/>
            </w:pPr>
            <w:r>
              <w:rPr>
                <w:rFonts w:hint="eastAsia"/>
              </w:rPr>
              <w:t>议</w:t>
            </w:r>
          </w:p>
          <w:p>
            <w:pPr>
              <w:jc w:val="center"/>
            </w:pPr>
            <w:r>
              <w:rPr>
                <w:rFonts w:hint="eastAsia"/>
              </w:rPr>
              <w:t>费</w:t>
            </w:r>
          </w:p>
          <w:p>
            <w:pPr>
              <w:jc w:val="center"/>
            </w:pPr>
            <w:r>
              <w:rPr>
                <w:rFonts w:hint="eastAsia"/>
              </w:rPr>
              <w:t>预</w:t>
            </w:r>
          </w:p>
          <w:p>
            <w:pPr>
              <w:jc w:val="center"/>
            </w:pPr>
            <w:r>
              <w:rPr>
                <w:rFonts w:hint="eastAsia"/>
              </w:rPr>
              <w:t>算</w:t>
            </w:r>
          </w:p>
        </w:tc>
        <w:tc>
          <w:tcPr>
            <w:tcW w:w="1920" w:type="dxa"/>
            <w:gridSpan w:val="2"/>
            <w:vAlign w:val="center"/>
          </w:tcPr>
          <w:p>
            <w:pPr>
              <w:pStyle w:val="17"/>
              <w:widowControl/>
              <w:jc w:val="center"/>
              <w:rPr>
                <w:sz w:val="21"/>
                <w:szCs w:val="21"/>
              </w:rPr>
            </w:pPr>
            <w:r>
              <w:rPr>
                <w:rFonts w:hint="eastAsia" w:ascii="宋体" w:hAnsi="宋体" w:cs="宋体"/>
                <w:color w:val="323232"/>
                <w:sz w:val="21"/>
                <w:szCs w:val="21"/>
              </w:rPr>
              <w:t>费用类别</w:t>
            </w:r>
          </w:p>
        </w:tc>
        <w:tc>
          <w:tcPr>
            <w:tcW w:w="1290" w:type="dxa"/>
            <w:vAlign w:val="center"/>
          </w:tcPr>
          <w:p>
            <w:pPr>
              <w:pStyle w:val="17"/>
              <w:widowControl/>
              <w:jc w:val="center"/>
              <w:rPr>
                <w:sz w:val="21"/>
                <w:szCs w:val="21"/>
              </w:rPr>
            </w:pPr>
            <w:r>
              <w:rPr>
                <w:rFonts w:hint="eastAsia" w:ascii="宋体" w:hAnsi="宋体" w:cs="宋体"/>
                <w:color w:val="323232"/>
                <w:sz w:val="21"/>
                <w:szCs w:val="21"/>
              </w:rPr>
              <w:t>金额（元）</w:t>
            </w:r>
          </w:p>
        </w:tc>
        <w:tc>
          <w:tcPr>
            <w:tcW w:w="4920" w:type="dxa"/>
            <w:gridSpan w:val="3"/>
            <w:vAlign w:val="center"/>
          </w:tcPr>
          <w:p>
            <w:pPr>
              <w:pStyle w:val="17"/>
              <w:widowControl/>
              <w:jc w:val="center"/>
              <w:rPr>
                <w:sz w:val="21"/>
                <w:szCs w:val="21"/>
              </w:rPr>
            </w:pPr>
            <w:r>
              <w:rPr>
                <w:rFonts w:hint="eastAsia" w:ascii="宋体" w:hAnsi="宋体" w:cs="宋体"/>
                <w:color w:val="323232"/>
                <w:sz w:val="21"/>
                <w:szCs w:val="21"/>
              </w:rPr>
              <w:t>预算说明</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blCellSpacing w:w="0" w:type="dxa"/>
          <w:jc w:val="center"/>
        </w:trPr>
        <w:tc>
          <w:tcPr>
            <w:tcW w:w="570" w:type="dxa"/>
            <w:vMerge w:val="continue"/>
            <w:vAlign w:val="center"/>
          </w:tcPr>
          <w:p>
            <w:pPr>
              <w:rPr>
                <w:rFonts w:ascii="宋体" w:hAnsi="宋体" w:cs="宋体"/>
                <w:color w:val="323232"/>
                <w:szCs w:val="21"/>
              </w:rPr>
            </w:pPr>
          </w:p>
        </w:tc>
        <w:tc>
          <w:tcPr>
            <w:tcW w:w="1920" w:type="dxa"/>
            <w:gridSpan w:val="2"/>
            <w:vAlign w:val="center"/>
          </w:tcPr>
          <w:p>
            <w:pPr>
              <w:pStyle w:val="17"/>
              <w:widowControl/>
              <w:jc w:val="center"/>
              <w:rPr>
                <w:sz w:val="21"/>
                <w:szCs w:val="21"/>
              </w:rPr>
            </w:pPr>
            <w:r>
              <w:rPr>
                <w:rFonts w:hint="eastAsia" w:ascii="宋体" w:hAnsi="宋体" w:cs="宋体"/>
                <w:color w:val="323232"/>
                <w:sz w:val="21"/>
                <w:szCs w:val="21"/>
              </w:rPr>
              <w:t>住宿费</w:t>
            </w:r>
          </w:p>
        </w:tc>
        <w:tc>
          <w:tcPr>
            <w:tcW w:w="1290" w:type="dxa"/>
            <w:vAlign w:val="center"/>
          </w:tcPr>
          <w:p>
            <w:pPr>
              <w:rPr>
                <w:rFonts w:ascii="宋体" w:hAnsi="宋体" w:cs="宋体"/>
                <w:color w:val="323232"/>
                <w:szCs w:val="21"/>
              </w:rPr>
            </w:pPr>
          </w:p>
        </w:tc>
        <w:tc>
          <w:tcPr>
            <w:tcW w:w="4920" w:type="dxa"/>
            <w:gridSpan w:val="3"/>
            <w:vAlign w:val="center"/>
          </w:tcPr>
          <w:p>
            <w:pPr>
              <w:rPr>
                <w:rFonts w:ascii="宋体" w:hAnsi="宋体" w:cs="宋体"/>
                <w:color w:val="323232"/>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blCellSpacing w:w="0" w:type="dxa"/>
          <w:jc w:val="center"/>
        </w:trPr>
        <w:tc>
          <w:tcPr>
            <w:tcW w:w="570" w:type="dxa"/>
            <w:vMerge w:val="continue"/>
            <w:vAlign w:val="center"/>
          </w:tcPr>
          <w:p>
            <w:pPr>
              <w:rPr>
                <w:rFonts w:ascii="宋体" w:hAnsi="宋体" w:cs="宋体"/>
                <w:color w:val="323232"/>
                <w:szCs w:val="21"/>
              </w:rPr>
            </w:pPr>
          </w:p>
        </w:tc>
        <w:tc>
          <w:tcPr>
            <w:tcW w:w="1920" w:type="dxa"/>
            <w:gridSpan w:val="2"/>
            <w:vAlign w:val="center"/>
          </w:tcPr>
          <w:p>
            <w:pPr>
              <w:pStyle w:val="17"/>
              <w:widowControl/>
              <w:jc w:val="center"/>
              <w:rPr>
                <w:sz w:val="21"/>
                <w:szCs w:val="21"/>
              </w:rPr>
            </w:pPr>
            <w:r>
              <w:rPr>
                <w:rFonts w:hint="eastAsia" w:ascii="宋体" w:hAnsi="宋体" w:cs="宋体"/>
                <w:color w:val="323232"/>
                <w:sz w:val="21"/>
                <w:szCs w:val="21"/>
              </w:rPr>
              <w:t>伙食费</w:t>
            </w:r>
          </w:p>
        </w:tc>
        <w:tc>
          <w:tcPr>
            <w:tcW w:w="1290" w:type="dxa"/>
            <w:vAlign w:val="center"/>
          </w:tcPr>
          <w:p>
            <w:pPr>
              <w:rPr>
                <w:rFonts w:ascii="宋体" w:hAnsi="宋体" w:cs="宋体"/>
                <w:color w:val="323232"/>
                <w:szCs w:val="21"/>
              </w:rPr>
            </w:pPr>
          </w:p>
        </w:tc>
        <w:tc>
          <w:tcPr>
            <w:tcW w:w="4920" w:type="dxa"/>
            <w:gridSpan w:val="3"/>
            <w:vAlign w:val="center"/>
          </w:tcPr>
          <w:p>
            <w:pPr>
              <w:rPr>
                <w:rFonts w:ascii="宋体" w:hAnsi="宋体" w:cs="宋体"/>
                <w:color w:val="323232"/>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blCellSpacing w:w="0" w:type="dxa"/>
          <w:jc w:val="center"/>
        </w:trPr>
        <w:tc>
          <w:tcPr>
            <w:tcW w:w="570" w:type="dxa"/>
            <w:vMerge w:val="continue"/>
            <w:vAlign w:val="center"/>
          </w:tcPr>
          <w:p>
            <w:pPr>
              <w:rPr>
                <w:rFonts w:ascii="宋体" w:hAnsi="宋体" w:cs="宋体"/>
                <w:color w:val="323232"/>
                <w:szCs w:val="21"/>
              </w:rPr>
            </w:pPr>
          </w:p>
        </w:tc>
        <w:tc>
          <w:tcPr>
            <w:tcW w:w="1920" w:type="dxa"/>
            <w:gridSpan w:val="2"/>
            <w:vAlign w:val="center"/>
          </w:tcPr>
          <w:p>
            <w:pPr>
              <w:pStyle w:val="17"/>
              <w:widowControl/>
              <w:jc w:val="center"/>
              <w:rPr>
                <w:sz w:val="21"/>
                <w:szCs w:val="21"/>
              </w:rPr>
            </w:pPr>
            <w:r>
              <w:rPr>
                <w:rFonts w:hint="eastAsia" w:ascii="宋体" w:hAnsi="宋体" w:cs="宋体"/>
                <w:color w:val="323232"/>
                <w:sz w:val="21"/>
                <w:szCs w:val="21"/>
              </w:rPr>
              <w:t>会议室租金</w:t>
            </w:r>
          </w:p>
        </w:tc>
        <w:tc>
          <w:tcPr>
            <w:tcW w:w="1290" w:type="dxa"/>
            <w:vAlign w:val="center"/>
          </w:tcPr>
          <w:p>
            <w:pPr>
              <w:rPr>
                <w:rFonts w:ascii="宋体" w:hAnsi="宋体" w:cs="宋体"/>
                <w:color w:val="323232"/>
                <w:szCs w:val="21"/>
              </w:rPr>
            </w:pPr>
          </w:p>
        </w:tc>
        <w:tc>
          <w:tcPr>
            <w:tcW w:w="4920" w:type="dxa"/>
            <w:gridSpan w:val="3"/>
            <w:vAlign w:val="center"/>
          </w:tcPr>
          <w:p>
            <w:pPr>
              <w:rPr>
                <w:rFonts w:ascii="宋体" w:hAnsi="宋体" w:cs="宋体"/>
                <w:color w:val="323232"/>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blCellSpacing w:w="0" w:type="dxa"/>
          <w:jc w:val="center"/>
        </w:trPr>
        <w:tc>
          <w:tcPr>
            <w:tcW w:w="570" w:type="dxa"/>
            <w:vMerge w:val="continue"/>
            <w:vAlign w:val="center"/>
          </w:tcPr>
          <w:p>
            <w:pPr>
              <w:rPr>
                <w:rFonts w:ascii="宋体" w:hAnsi="宋体" w:cs="宋体"/>
                <w:color w:val="323232"/>
                <w:szCs w:val="21"/>
              </w:rPr>
            </w:pPr>
          </w:p>
        </w:tc>
        <w:tc>
          <w:tcPr>
            <w:tcW w:w="1920" w:type="dxa"/>
            <w:gridSpan w:val="2"/>
            <w:vAlign w:val="center"/>
          </w:tcPr>
          <w:p>
            <w:pPr>
              <w:pStyle w:val="17"/>
              <w:widowControl/>
              <w:jc w:val="center"/>
              <w:rPr>
                <w:rFonts w:ascii="宋体" w:hAnsi="宋体" w:cs="宋体"/>
                <w:color w:val="323232"/>
                <w:sz w:val="21"/>
                <w:szCs w:val="21"/>
              </w:rPr>
            </w:pPr>
            <w:r>
              <w:rPr>
                <w:rFonts w:hint="eastAsia" w:ascii="宋体" w:hAnsi="宋体" w:cs="宋体"/>
                <w:color w:val="323232"/>
                <w:sz w:val="21"/>
                <w:szCs w:val="21"/>
              </w:rPr>
              <w:t>印刷费</w:t>
            </w:r>
          </w:p>
        </w:tc>
        <w:tc>
          <w:tcPr>
            <w:tcW w:w="1290" w:type="dxa"/>
            <w:vAlign w:val="center"/>
          </w:tcPr>
          <w:p>
            <w:pPr>
              <w:rPr>
                <w:rFonts w:ascii="宋体" w:hAnsi="宋体" w:cs="宋体"/>
                <w:color w:val="323232"/>
                <w:szCs w:val="21"/>
              </w:rPr>
            </w:pPr>
          </w:p>
        </w:tc>
        <w:tc>
          <w:tcPr>
            <w:tcW w:w="4920" w:type="dxa"/>
            <w:gridSpan w:val="3"/>
            <w:vAlign w:val="center"/>
          </w:tcPr>
          <w:p>
            <w:pPr>
              <w:rPr>
                <w:rFonts w:ascii="宋体" w:hAnsi="宋体" w:cs="宋体"/>
                <w:color w:val="323232"/>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blCellSpacing w:w="0" w:type="dxa"/>
          <w:jc w:val="center"/>
        </w:trPr>
        <w:tc>
          <w:tcPr>
            <w:tcW w:w="570" w:type="dxa"/>
            <w:vMerge w:val="continue"/>
            <w:vAlign w:val="center"/>
          </w:tcPr>
          <w:p>
            <w:pPr>
              <w:rPr>
                <w:rFonts w:ascii="宋体" w:hAnsi="宋体" w:cs="宋体"/>
                <w:color w:val="323232"/>
                <w:szCs w:val="21"/>
              </w:rPr>
            </w:pPr>
          </w:p>
        </w:tc>
        <w:tc>
          <w:tcPr>
            <w:tcW w:w="1920" w:type="dxa"/>
            <w:gridSpan w:val="2"/>
            <w:vAlign w:val="center"/>
          </w:tcPr>
          <w:p>
            <w:pPr>
              <w:pStyle w:val="17"/>
              <w:widowControl/>
              <w:jc w:val="center"/>
              <w:rPr>
                <w:rFonts w:ascii="宋体" w:hAnsi="宋体" w:cs="宋体"/>
                <w:color w:val="323232"/>
                <w:sz w:val="21"/>
                <w:szCs w:val="21"/>
              </w:rPr>
            </w:pPr>
            <w:r>
              <w:rPr>
                <w:rFonts w:hint="eastAsia" w:ascii="宋体" w:hAnsi="宋体" w:cs="宋体"/>
                <w:color w:val="323232"/>
                <w:sz w:val="21"/>
                <w:szCs w:val="21"/>
              </w:rPr>
              <w:t>交通费</w:t>
            </w:r>
          </w:p>
        </w:tc>
        <w:tc>
          <w:tcPr>
            <w:tcW w:w="1290" w:type="dxa"/>
            <w:vAlign w:val="center"/>
          </w:tcPr>
          <w:p>
            <w:pPr>
              <w:rPr>
                <w:rFonts w:ascii="宋体" w:hAnsi="宋体" w:cs="宋体"/>
                <w:color w:val="323232"/>
                <w:szCs w:val="21"/>
              </w:rPr>
            </w:pPr>
          </w:p>
        </w:tc>
        <w:tc>
          <w:tcPr>
            <w:tcW w:w="4920" w:type="dxa"/>
            <w:gridSpan w:val="3"/>
            <w:vAlign w:val="center"/>
          </w:tcPr>
          <w:p>
            <w:pPr>
              <w:rPr>
                <w:rFonts w:ascii="宋体" w:hAnsi="宋体" w:cs="宋体"/>
                <w:color w:val="323232"/>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blCellSpacing w:w="0" w:type="dxa"/>
          <w:jc w:val="center"/>
        </w:trPr>
        <w:tc>
          <w:tcPr>
            <w:tcW w:w="570" w:type="dxa"/>
            <w:vMerge w:val="continue"/>
            <w:vAlign w:val="center"/>
          </w:tcPr>
          <w:p>
            <w:pPr>
              <w:rPr>
                <w:rFonts w:ascii="宋体" w:hAnsi="宋体" w:cs="宋体"/>
                <w:color w:val="323232"/>
                <w:szCs w:val="21"/>
              </w:rPr>
            </w:pPr>
          </w:p>
        </w:tc>
        <w:tc>
          <w:tcPr>
            <w:tcW w:w="1920" w:type="dxa"/>
            <w:gridSpan w:val="2"/>
            <w:vAlign w:val="center"/>
          </w:tcPr>
          <w:p>
            <w:pPr>
              <w:pStyle w:val="17"/>
              <w:widowControl/>
              <w:jc w:val="center"/>
              <w:rPr>
                <w:sz w:val="21"/>
                <w:szCs w:val="21"/>
              </w:rPr>
            </w:pPr>
            <w:r>
              <w:rPr>
                <w:rFonts w:hint="eastAsia" w:ascii="宋体" w:hAnsi="宋体" w:cs="宋体"/>
                <w:color w:val="323232"/>
                <w:sz w:val="21"/>
                <w:szCs w:val="21"/>
              </w:rPr>
              <w:t>其他费用</w:t>
            </w:r>
          </w:p>
        </w:tc>
        <w:tc>
          <w:tcPr>
            <w:tcW w:w="1290" w:type="dxa"/>
            <w:vAlign w:val="center"/>
          </w:tcPr>
          <w:p>
            <w:pPr>
              <w:rPr>
                <w:rFonts w:ascii="宋体" w:hAnsi="宋体" w:cs="宋体"/>
                <w:color w:val="323232"/>
                <w:szCs w:val="21"/>
              </w:rPr>
            </w:pPr>
          </w:p>
        </w:tc>
        <w:tc>
          <w:tcPr>
            <w:tcW w:w="4920" w:type="dxa"/>
            <w:gridSpan w:val="3"/>
            <w:vAlign w:val="center"/>
          </w:tcPr>
          <w:p>
            <w:pPr>
              <w:rPr>
                <w:rFonts w:ascii="宋体" w:hAnsi="宋体" w:cs="宋体"/>
                <w:color w:val="323232"/>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blCellSpacing w:w="0" w:type="dxa"/>
          <w:jc w:val="center"/>
        </w:trPr>
        <w:tc>
          <w:tcPr>
            <w:tcW w:w="570" w:type="dxa"/>
            <w:vMerge w:val="continue"/>
            <w:vAlign w:val="center"/>
          </w:tcPr>
          <w:p>
            <w:pPr>
              <w:rPr>
                <w:rFonts w:ascii="宋体" w:hAnsi="宋体" w:cs="宋体"/>
                <w:color w:val="323232"/>
                <w:szCs w:val="21"/>
              </w:rPr>
            </w:pPr>
          </w:p>
        </w:tc>
        <w:tc>
          <w:tcPr>
            <w:tcW w:w="1920" w:type="dxa"/>
            <w:gridSpan w:val="2"/>
            <w:vAlign w:val="center"/>
          </w:tcPr>
          <w:p>
            <w:pPr>
              <w:pStyle w:val="17"/>
              <w:widowControl/>
              <w:jc w:val="center"/>
              <w:rPr>
                <w:rFonts w:ascii="宋体" w:hAnsi="宋体" w:cs="宋体"/>
                <w:color w:val="323232"/>
                <w:sz w:val="21"/>
                <w:szCs w:val="21"/>
              </w:rPr>
            </w:pPr>
            <w:r>
              <w:rPr>
                <w:rFonts w:hint="eastAsia" w:ascii="宋体" w:hAnsi="宋体" w:cs="宋体"/>
                <w:color w:val="323232"/>
                <w:sz w:val="21"/>
                <w:szCs w:val="21"/>
              </w:rPr>
              <w:t>……</w:t>
            </w:r>
          </w:p>
        </w:tc>
        <w:tc>
          <w:tcPr>
            <w:tcW w:w="1290" w:type="dxa"/>
            <w:vAlign w:val="center"/>
          </w:tcPr>
          <w:p>
            <w:pPr>
              <w:rPr>
                <w:rFonts w:ascii="宋体" w:hAnsi="宋体" w:cs="宋体"/>
                <w:color w:val="323232"/>
                <w:szCs w:val="21"/>
              </w:rPr>
            </w:pPr>
          </w:p>
        </w:tc>
        <w:tc>
          <w:tcPr>
            <w:tcW w:w="4920" w:type="dxa"/>
            <w:gridSpan w:val="3"/>
            <w:vAlign w:val="center"/>
          </w:tcPr>
          <w:p>
            <w:pPr>
              <w:rPr>
                <w:rFonts w:ascii="宋体" w:hAnsi="宋体" w:cs="宋体"/>
                <w:color w:val="323232"/>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blCellSpacing w:w="0" w:type="dxa"/>
          <w:jc w:val="center"/>
        </w:trPr>
        <w:tc>
          <w:tcPr>
            <w:tcW w:w="570" w:type="dxa"/>
            <w:vMerge w:val="continue"/>
            <w:vAlign w:val="center"/>
          </w:tcPr>
          <w:p>
            <w:pPr>
              <w:rPr>
                <w:rFonts w:ascii="宋体" w:hAnsi="宋体" w:cs="宋体"/>
                <w:color w:val="323232"/>
                <w:szCs w:val="21"/>
              </w:rPr>
            </w:pPr>
          </w:p>
        </w:tc>
        <w:tc>
          <w:tcPr>
            <w:tcW w:w="1920" w:type="dxa"/>
            <w:gridSpan w:val="2"/>
            <w:vAlign w:val="center"/>
          </w:tcPr>
          <w:p>
            <w:pPr>
              <w:pStyle w:val="17"/>
              <w:widowControl/>
              <w:jc w:val="center"/>
              <w:rPr>
                <w:rFonts w:ascii="宋体" w:hAnsi="宋体" w:cs="宋体"/>
                <w:color w:val="323232"/>
                <w:sz w:val="21"/>
                <w:szCs w:val="21"/>
              </w:rPr>
            </w:pPr>
            <w:r>
              <w:rPr>
                <w:rFonts w:hint="eastAsia" w:ascii="宋体" w:hAnsi="宋体" w:cs="宋体"/>
                <w:color w:val="323232"/>
                <w:sz w:val="21"/>
                <w:szCs w:val="21"/>
              </w:rPr>
              <w:t>……</w:t>
            </w:r>
          </w:p>
        </w:tc>
        <w:tc>
          <w:tcPr>
            <w:tcW w:w="1290" w:type="dxa"/>
            <w:vAlign w:val="center"/>
          </w:tcPr>
          <w:p>
            <w:pPr>
              <w:rPr>
                <w:rFonts w:ascii="宋体" w:hAnsi="宋体" w:cs="宋体"/>
                <w:color w:val="323232"/>
                <w:szCs w:val="21"/>
              </w:rPr>
            </w:pPr>
          </w:p>
        </w:tc>
        <w:tc>
          <w:tcPr>
            <w:tcW w:w="4920" w:type="dxa"/>
            <w:gridSpan w:val="3"/>
            <w:vAlign w:val="center"/>
          </w:tcPr>
          <w:p>
            <w:pPr>
              <w:rPr>
                <w:rFonts w:ascii="宋体" w:hAnsi="宋体" w:cs="宋体"/>
                <w:color w:val="323232"/>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blCellSpacing w:w="0" w:type="dxa"/>
          <w:jc w:val="center"/>
        </w:trPr>
        <w:tc>
          <w:tcPr>
            <w:tcW w:w="570" w:type="dxa"/>
            <w:vMerge w:val="continue"/>
            <w:vAlign w:val="center"/>
          </w:tcPr>
          <w:p>
            <w:pPr>
              <w:rPr>
                <w:rFonts w:ascii="宋体" w:hAnsi="宋体" w:cs="宋体"/>
                <w:color w:val="323232"/>
                <w:szCs w:val="21"/>
              </w:rPr>
            </w:pPr>
          </w:p>
        </w:tc>
        <w:tc>
          <w:tcPr>
            <w:tcW w:w="1920" w:type="dxa"/>
            <w:gridSpan w:val="2"/>
            <w:vAlign w:val="center"/>
          </w:tcPr>
          <w:p>
            <w:pPr>
              <w:pStyle w:val="17"/>
              <w:widowControl/>
              <w:jc w:val="center"/>
              <w:rPr>
                <w:sz w:val="21"/>
                <w:szCs w:val="21"/>
              </w:rPr>
            </w:pPr>
            <w:r>
              <w:rPr>
                <w:rFonts w:hint="eastAsia" w:ascii="宋体" w:hAnsi="宋体" w:cs="宋体"/>
                <w:color w:val="323232"/>
                <w:sz w:val="21"/>
                <w:szCs w:val="21"/>
              </w:rPr>
              <w:t>合计</w:t>
            </w:r>
          </w:p>
        </w:tc>
        <w:tc>
          <w:tcPr>
            <w:tcW w:w="1290" w:type="dxa"/>
            <w:vAlign w:val="center"/>
          </w:tcPr>
          <w:p>
            <w:pPr>
              <w:rPr>
                <w:rFonts w:ascii="宋体" w:hAnsi="宋体" w:cs="宋体"/>
                <w:color w:val="323232"/>
                <w:szCs w:val="21"/>
              </w:rPr>
            </w:pPr>
          </w:p>
        </w:tc>
        <w:tc>
          <w:tcPr>
            <w:tcW w:w="4920" w:type="dxa"/>
            <w:gridSpan w:val="3"/>
            <w:vAlign w:val="center"/>
          </w:tcPr>
          <w:p>
            <w:pPr>
              <w:rPr>
                <w:rFonts w:ascii="宋体" w:hAnsi="宋体" w:cs="宋体"/>
                <w:color w:val="323232"/>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063" w:hRule="atLeast"/>
          <w:tblCellSpacing w:w="0" w:type="dxa"/>
          <w:jc w:val="center"/>
        </w:trPr>
        <w:tc>
          <w:tcPr>
            <w:tcW w:w="570" w:type="dxa"/>
            <w:vAlign w:val="center"/>
          </w:tcPr>
          <w:p>
            <w:pPr>
              <w:pStyle w:val="17"/>
              <w:widowControl/>
              <w:jc w:val="center"/>
              <w:rPr>
                <w:sz w:val="21"/>
                <w:szCs w:val="21"/>
              </w:rPr>
            </w:pPr>
            <w:r>
              <w:rPr>
                <w:rFonts w:hint="eastAsia" w:ascii="宋体" w:hAnsi="宋体" w:cs="宋体"/>
                <w:color w:val="323232"/>
                <w:sz w:val="21"/>
                <w:szCs w:val="21"/>
                <w:lang w:val="en-US" w:eastAsia="zh-CN"/>
              </w:rPr>
              <w:t>单位或项目负责人</w:t>
            </w:r>
            <w:r>
              <w:rPr>
                <w:rFonts w:hint="eastAsia" w:ascii="宋体" w:hAnsi="宋体" w:cs="宋体"/>
                <w:color w:val="323232"/>
                <w:sz w:val="21"/>
                <w:szCs w:val="21"/>
              </w:rPr>
              <w:t>意见</w:t>
            </w:r>
          </w:p>
        </w:tc>
        <w:tc>
          <w:tcPr>
            <w:tcW w:w="8130" w:type="dxa"/>
            <w:gridSpan w:val="6"/>
          </w:tcPr>
          <w:p>
            <w:pPr>
              <w:pStyle w:val="17"/>
              <w:widowControl/>
              <w:jc w:val="right"/>
              <w:rPr>
                <w:rFonts w:ascii="宋体" w:hAnsi="宋体" w:cs="宋体"/>
                <w:color w:val="323232"/>
                <w:sz w:val="21"/>
                <w:szCs w:val="21"/>
              </w:rPr>
            </w:pPr>
          </w:p>
          <w:p>
            <w:pPr>
              <w:pStyle w:val="17"/>
              <w:widowControl/>
              <w:rPr>
                <w:rFonts w:ascii="宋体" w:hAnsi="宋体" w:cs="宋体"/>
                <w:color w:val="323232"/>
                <w:sz w:val="21"/>
                <w:szCs w:val="21"/>
              </w:rPr>
            </w:pPr>
            <w:r>
              <w:rPr>
                <w:rFonts w:hint="eastAsia" w:ascii="宋体" w:hAnsi="宋体" w:cs="宋体"/>
                <w:color w:val="323232"/>
                <w:sz w:val="21"/>
                <w:szCs w:val="21"/>
              </w:rPr>
              <w:t xml:space="preserve">                                                            签名：</w:t>
            </w:r>
          </w:p>
          <w:p>
            <w:pPr>
              <w:pStyle w:val="17"/>
              <w:widowControl/>
              <w:ind w:firstLine="2205" w:firstLineChars="1050"/>
              <w:rPr>
                <w:sz w:val="21"/>
                <w:szCs w:val="21"/>
              </w:rPr>
            </w:pPr>
            <w:r>
              <w:rPr>
                <w:rFonts w:hint="eastAsia" w:ascii="宋体" w:hAnsi="宋体" w:cs="宋体"/>
                <w:color w:val="323232"/>
                <w:sz w:val="21"/>
                <w:szCs w:val="21"/>
              </w:rPr>
              <w:t xml:space="preserve">                                     年 月 日</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1422" w:hRule="atLeast"/>
          <w:tblCellSpacing w:w="0" w:type="dxa"/>
          <w:jc w:val="center"/>
        </w:trPr>
        <w:tc>
          <w:tcPr>
            <w:tcW w:w="570" w:type="dxa"/>
            <w:vAlign w:val="center"/>
          </w:tcPr>
          <w:p>
            <w:pPr>
              <w:pStyle w:val="17"/>
              <w:widowControl/>
              <w:jc w:val="center"/>
              <w:rPr>
                <w:rFonts w:ascii="宋体" w:hAnsi="宋体" w:cs="宋体"/>
                <w:color w:val="323232"/>
                <w:sz w:val="21"/>
                <w:szCs w:val="21"/>
              </w:rPr>
            </w:pPr>
            <w:r>
              <w:rPr>
                <w:rFonts w:hint="eastAsia" w:ascii="宋体" w:hAnsi="宋体" w:cs="宋体"/>
                <w:color w:val="323232"/>
                <w:sz w:val="21"/>
                <w:szCs w:val="21"/>
              </w:rPr>
              <w:t>学校审批意见</w:t>
            </w:r>
          </w:p>
        </w:tc>
        <w:tc>
          <w:tcPr>
            <w:tcW w:w="8130" w:type="dxa"/>
            <w:gridSpan w:val="6"/>
          </w:tcPr>
          <w:p>
            <w:pPr>
              <w:pStyle w:val="17"/>
              <w:widowControl/>
              <w:ind w:firstLine="5460" w:firstLineChars="2600"/>
              <w:rPr>
                <w:rFonts w:ascii="宋体" w:hAnsi="宋体" w:cs="宋体"/>
                <w:color w:val="323232"/>
                <w:sz w:val="21"/>
                <w:szCs w:val="21"/>
              </w:rPr>
            </w:pPr>
            <w:r>
              <w:rPr>
                <w:rFonts w:hint="eastAsia" w:ascii="宋体" w:hAnsi="宋体" w:cs="宋体"/>
                <w:color w:val="323232"/>
                <w:sz w:val="21"/>
                <w:szCs w:val="21"/>
              </w:rPr>
              <w:t xml:space="preserve">                </w:t>
            </w:r>
          </w:p>
          <w:p>
            <w:pPr>
              <w:pStyle w:val="17"/>
              <w:widowControl/>
              <w:ind w:firstLine="5460" w:firstLineChars="2600"/>
              <w:rPr>
                <w:rFonts w:ascii="宋体" w:hAnsi="宋体" w:cs="宋体"/>
                <w:color w:val="323232"/>
                <w:sz w:val="21"/>
                <w:szCs w:val="21"/>
              </w:rPr>
            </w:pPr>
            <w:r>
              <w:rPr>
                <w:rFonts w:hint="eastAsia" w:ascii="宋体" w:hAnsi="宋体" w:cs="宋体"/>
                <w:color w:val="323232"/>
                <w:sz w:val="21"/>
                <w:szCs w:val="21"/>
              </w:rPr>
              <w:t xml:space="preserve">           签名：</w:t>
            </w:r>
          </w:p>
          <w:p>
            <w:pPr>
              <w:pStyle w:val="17"/>
              <w:widowControl/>
              <w:ind w:firstLine="5460" w:firstLineChars="2600"/>
              <w:rPr>
                <w:rFonts w:ascii="宋体" w:hAnsi="宋体" w:cs="宋体"/>
                <w:color w:val="323232"/>
                <w:sz w:val="21"/>
                <w:szCs w:val="21"/>
              </w:rPr>
            </w:pPr>
            <w:r>
              <w:rPr>
                <w:rFonts w:hint="eastAsia" w:ascii="宋体" w:hAnsi="宋体" w:cs="宋体"/>
                <w:color w:val="323232"/>
                <w:sz w:val="21"/>
                <w:szCs w:val="21"/>
              </w:rPr>
              <w:t xml:space="preserve">       年  月   日</w:t>
            </w:r>
          </w:p>
        </w:tc>
      </w:tr>
    </w:tbl>
    <w:p>
      <w:pPr>
        <w:pStyle w:val="17"/>
        <w:widowControl/>
        <w:spacing w:beforeAutospacing="0" w:afterAutospacing="0" w:line="27" w:lineRule="atLeast"/>
        <w:ind w:left="300"/>
        <w:rPr>
          <w:rFonts w:ascii="仿宋" w:hAnsi="仿宋" w:eastAsia="仿宋" w:cs="仿宋"/>
          <w:color w:val="323232"/>
          <w:sz w:val="21"/>
          <w:szCs w:val="21"/>
        </w:rPr>
      </w:pPr>
    </w:p>
    <w:p>
      <w:pPr>
        <w:pStyle w:val="17"/>
        <w:widowControl/>
        <w:spacing w:beforeAutospacing="0" w:afterAutospacing="0" w:line="27" w:lineRule="atLeast"/>
        <w:rPr>
          <w:rFonts w:ascii="仿宋" w:hAnsi="仿宋" w:eastAsia="仿宋" w:cs="仿宋"/>
          <w:color w:val="323232"/>
          <w:sz w:val="21"/>
          <w:szCs w:val="21"/>
        </w:rPr>
      </w:pPr>
    </w:p>
    <w:p>
      <w:pPr>
        <w:pStyle w:val="17"/>
        <w:widowControl/>
        <w:spacing w:beforeAutospacing="0" w:afterAutospacing="0" w:line="27" w:lineRule="atLeast"/>
        <w:rPr>
          <w:rFonts w:ascii="仿宋" w:hAnsi="仿宋" w:eastAsia="仿宋" w:cs="仿宋"/>
          <w:color w:val="323232"/>
          <w:sz w:val="21"/>
          <w:szCs w:val="21"/>
        </w:rPr>
      </w:pPr>
    </w:p>
    <w:p>
      <w:pPr>
        <w:pStyle w:val="17"/>
        <w:widowControl/>
        <w:spacing w:beforeAutospacing="0" w:afterAutospacing="0" w:line="27" w:lineRule="atLeast"/>
        <w:ind w:left="300"/>
        <w:rPr>
          <w:rFonts w:ascii="仿宋" w:hAnsi="仿宋" w:eastAsia="仿宋" w:cs="仿宋"/>
          <w:sz w:val="21"/>
          <w:szCs w:val="21"/>
        </w:rPr>
      </w:pPr>
      <w:r>
        <w:rPr>
          <w:rFonts w:hint="eastAsia" w:ascii="仿宋" w:hAnsi="仿宋" w:eastAsia="仿宋" w:cs="仿宋"/>
          <w:color w:val="323232"/>
          <w:sz w:val="21"/>
          <w:szCs w:val="21"/>
        </w:rPr>
        <w:t>附件:2：</w:t>
      </w:r>
    </w:p>
    <w:p>
      <w:pPr>
        <w:pStyle w:val="17"/>
        <w:widowControl/>
        <w:spacing w:beforeAutospacing="0" w:afterAutospacing="0" w:line="27" w:lineRule="atLeast"/>
        <w:ind w:left="300"/>
        <w:jc w:val="center"/>
      </w:pPr>
      <w:r>
        <w:rPr>
          <w:rStyle w:val="8"/>
          <w:rFonts w:hint="eastAsia" w:ascii="黑体" w:hAnsi="黑体" w:eastAsia="黑体" w:cs="黑体"/>
          <w:color w:val="323232"/>
          <w:sz w:val="32"/>
          <w:szCs w:val="32"/>
        </w:rPr>
        <w:t>西北农林科技大学会议参会人员签到表</w:t>
      </w:r>
    </w:p>
    <w:p>
      <w:pPr>
        <w:pStyle w:val="17"/>
        <w:widowControl/>
        <w:spacing w:beforeAutospacing="0" w:afterAutospacing="0" w:line="27" w:lineRule="atLeast"/>
        <w:ind w:left="300"/>
        <w:rPr>
          <w:rFonts w:ascii="宋体" w:hAnsi="宋体" w:cs="宋体"/>
          <w:color w:val="323232"/>
          <w:sz w:val="21"/>
          <w:szCs w:val="21"/>
        </w:rPr>
      </w:pPr>
    </w:p>
    <w:p>
      <w:pPr>
        <w:pStyle w:val="17"/>
        <w:widowControl/>
        <w:spacing w:beforeAutospacing="0" w:afterAutospacing="0" w:line="27" w:lineRule="atLeast"/>
        <w:ind w:left="300"/>
        <w:rPr>
          <w:rFonts w:ascii="宋体" w:hAnsi="宋体" w:cs="宋体"/>
          <w:color w:val="323232"/>
          <w:sz w:val="21"/>
          <w:szCs w:val="21"/>
        </w:rPr>
      </w:pPr>
      <w:r>
        <w:rPr>
          <w:rFonts w:hint="eastAsia" w:ascii="宋体" w:hAnsi="宋体" w:cs="宋体"/>
          <w:color w:val="323232"/>
          <w:sz w:val="21"/>
          <w:szCs w:val="21"/>
        </w:rPr>
        <w:t>会议名称：</w:t>
      </w:r>
    </w:p>
    <w:p>
      <w:pPr>
        <w:pStyle w:val="17"/>
        <w:widowControl/>
        <w:spacing w:beforeAutospacing="0" w:afterAutospacing="0" w:line="27" w:lineRule="atLeast"/>
        <w:ind w:left="300"/>
        <w:rPr>
          <w:rFonts w:ascii="宋体" w:hAnsi="宋体" w:cs="宋体"/>
          <w:color w:val="323232"/>
          <w:sz w:val="21"/>
          <w:szCs w:val="21"/>
        </w:rPr>
      </w:pPr>
    </w:p>
    <w:p>
      <w:pPr>
        <w:pStyle w:val="17"/>
        <w:widowControl/>
        <w:spacing w:beforeAutospacing="0" w:afterAutospacing="0" w:line="27" w:lineRule="atLeast"/>
        <w:ind w:left="300"/>
        <w:rPr>
          <w:rFonts w:ascii="宋体" w:hAnsi="宋体" w:cs="宋体"/>
          <w:color w:val="323232"/>
          <w:sz w:val="21"/>
          <w:szCs w:val="21"/>
        </w:rPr>
      </w:pPr>
      <w:r>
        <w:rPr>
          <w:rFonts w:hint="eastAsia" w:ascii="宋体" w:hAnsi="宋体" w:cs="宋体"/>
          <w:color w:val="323232"/>
          <w:sz w:val="21"/>
          <w:szCs w:val="21"/>
        </w:rPr>
        <w:t>会议时间：</w:t>
      </w:r>
    </w:p>
    <w:p>
      <w:pPr>
        <w:pStyle w:val="17"/>
        <w:widowControl/>
        <w:spacing w:beforeAutospacing="0" w:afterAutospacing="0" w:line="27" w:lineRule="atLeast"/>
        <w:ind w:left="300"/>
        <w:rPr>
          <w:sz w:val="21"/>
          <w:szCs w:val="21"/>
        </w:rPr>
      </w:pPr>
    </w:p>
    <w:tbl>
      <w:tblPr>
        <w:tblStyle w:val="11"/>
        <w:tblW w:w="8003" w:type="dxa"/>
        <w:tblCellSpacing w:w="0" w:type="dxa"/>
        <w:tblInd w:w="315"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
      <w:tblGrid>
        <w:gridCol w:w="1388"/>
        <w:gridCol w:w="1388"/>
        <w:gridCol w:w="1388"/>
        <w:gridCol w:w="1388"/>
        <w:gridCol w:w="1388"/>
        <w:gridCol w:w="1063"/>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515" w:hRule="atLeast"/>
          <w:tblCellSpacing w:w="0" w:type="dxa"/>
        </w:trPr>
        <w:tc>
          <w:tcPr>
            <w:tcW w:w="1388" w:type="dxa"/>
          </w:tcPr>
          <w:p>
            <w:pPr>
              <w:pStyle w:val="17"/>
              <w:widowControl/>
              <w:jc w:val="center"/>
              <w:rPr>
                <w:sz w:val="21"/>
                <w:szCs w:val="21"/>
              </w:rPr>
            </w:pPr>
            <w:r>
              <w:rPr>
                <w:rFonts w:hint="eastAsia" w:ascii="宋体" w:hAnsi="宋体" w:cs="宋体"/>
                <w:color w:val="323232"/>
                <w:sz w:val="21"/>
                <w:szCs w:val="21"/>
              </w:rPr>
              <w:t>姓 名</w:t>
            </w:r>
          </w:p>
        </w:tc>
        <w:tc>
          <w:tcPr>
            <w:tcW w:w="1388" w:type="dxa"/>
          </w:tcPr>
          <w:p>
            <w:pPr>
              <w:pStyle w:val="17"/>
              <w:widowControl/>
              <w:jc w:val="center"/>
              <w:rPr>
                <w:sz w:val="21"/>
                <w:szCs w:val="21"/>
              </w:rPr>
            </w:pPr>
            <w:r>
              <w:rPr>
                <w:rFonts w:hint="eastAsia" w:ascii="宋体" w:hAnsi="宋体" w:cs="宋体"/>
                <w:color w:val="323232"/>
                <w:sz w:val="21"/>
                <w:szCs w:val="21"/>
              </w:rPr>
              <w:t>工作单位</w:t>
            </w:r>
          </w:p>
        </w:tc>
        <w:tc>
          <w:tcPr>
            <w:tcW w:w="1388" w:type="dxa"/>
          </w:tcPr>
          <w:p>
            <w:pPr>
              <w:pStyle w:val="17"/>
              <w:widowControl/>
              <w:jc w:val="center"/>
              <w:rPr>
                <w:sz w:val="21"/>
                <w:szCs w:val="21"/>
              </w:rPr>
            </w:pPr>
            <w:r>
              <w:rPr>
                <w:rFonts w:hint="eastAsia" w:ascii="宋体" w:hAnsi="宋体" w:cs="宋体"/>
                <w:color w:val="323232"/>
                <w:sz w:val="21"/>
                <w:szCs w:val="21"/>
              </w:rPr>
              <w:t>职称职务</w:t>
            </w:r>
          </w:p>
        </w:tc>
        <w:tc>
          <w:tcPr>
            <w:tcW w:w="1388" w:type="dxa"/>
          </w:tcPr>
          <w:p>
            <w:pPr>
              <w:pStyle w:val="17"/>
              <w:widowControl/>
              <w:jc w:val="center"/>
              <w:rPr>
                <w:sz w:val="21"/>
                <w:szCs w:val="21"/>
              </w:rPr>
            </w:pPr>
            <w:r>
              <w:rPr>
                <w:rFonts w:hint="eastAsia" w:ascii="宋体" w:hAnsi="宋体" w:cs="宋体"/>
                <w:color w:val="323232"/>
                <w:sz w:val="21"/>
                <w:szCs w:val="21"/>
              </w:rPr>
              <w:t>联系电话</w:t>
            </w:r>
          </w:p>
        </w:tc>
        <w:tc>
          <w:tcPr>
            <w:tcW w:w="1388" w:type="dxa"/>
          </w:tcPr>
          <w:p>
            <w:pPr>
              <w:pStyle w:val="17"/>
              <w:widowControl/>
              <w:jc w:val="center"/>
              <w:rPr>
                <w:sz w:val="21"/>
                <w:szCs w:val="21"/>
              </w:rPr>
            </w:pPr>
            <w:r>
              <w:rPr>
                <w:rFonts w:hint="eastAsia" w:ascii="宋体" w:hAnsi="宋体" w:cs="宋体"/>
                <w:color w:val="323232"/>
                <w:sz w:val="21"/>
                <w:szCs w:val="21"/>
              </w:rPr>
              <w:t>邮 箱</w:t>
            </w:r>
          </w:p>
        </w:tc>
        <w:tc>
          <w:tcPr>
            <w:tcW w:w="1063" w:type="dxa"/>
          </w:tcPr>
          <w:p>
            <w:pPr>
              <w:pStyle w:val="17"/>
              <w:widowControl/>
              <w:jc w:val="center"/>
              <w:rPr>
                <w:sz w:val="21"/>
                <w:szCs w:val="21"/>
              </w:rPr>
            </w:pPr>
            <w:r>
              <w:rPr>
                <w:rFonts w:hint="eastAsia" w:ascii="宋体" w:hAnsi="宋体" w:cs="宋体"/>
                <w:color w:val="323232"/>
                <w:sz w:val="21"/>
                <w:szCs w:val="21"/>
              </w:rPr>
              <w:t>备 注</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515" w:hRule="atLeast"/>
          <w:tblCellSpacing w:w="0" w:type="dxa"/>
        </w:trPr>
        <w:tc>
          <w:tcPr>
            <w:tcW w:w="1388" w:type="dxa"/>
          </w:tcPr>
          <w:p>
            <w:pPr>
              <w:rPr>
                <w:rFonts w:ascii="宋体" w:hAnsi="宋体" w:cs="宋体"/>
                <w:color w:val="323232"/>
                <w:szCs w:val="21"/>
              </w:rPr>
            </w:pPr>
          </w:p>
        </w:tc>
        <w:tc>
          <w:tcPr>
            <w:tcW w:w="1388" w:type="dxa"/>
          </w:tcPr>
          <w:p>
            <w:pPr>
              <w:rPr>
                <w:rFonts w:ascii="宋体" w:hAnsi="宋体" w:cs="宋体"/>
                <w:color w:val="323232"/>
                <w:szCs w:val="21"/>
              </w:rPr>
            </w:pPr>
          </w:p>
        </w:tc>
        <w:tc>
          <w:tcPr>
            <w:tcW w:w="1388" w:type="dxa"/>
          </w:tcPr>
          <w:p>
            <w:pPr>
              <w:rPr>
                <w:rFonts w:ascii="宋体" w:hAnsi="宋体" w:cs="宋体"/>
                <w:color w:val="323232"/>
                <w:szCs w:val="21"/>
              </w:rPr>
            </w:pPr>
          </w:p>
        </w:tc>
        <w:tc>
          <w:tcPr>
            <w:tcW w:w="1388" w:type="dxa"/>
          </w:tcPr>
          <w:p>
            <w:pPr>
              <w:rPr>
                <w:rFonts w:ascii="宋体" w:hAnsi="宋体" w:cs="宋体"/>
                <w:color w:val="323232"/>
                <w:szCs w:val="21"/>
              </w:rPr>
            </w:pPr>
          </w:p>
        </w:tc>
        <w:tc>
          <w:tcPr>
            <w:tcW w:w="1388" w:type="dxa"/>
          </w:tcPr>
          <w:p>
            <w:pPr>
              <w:rPr>
                <w:rFonts w:ascii="宋体" w:hAnsi="宋体" w:cs="宋体"/>
                <w:color w:val="323232"/>
                <w:szCs w:val="21"/>
              </w:rPr>
            </w:pPr>
          </w:p>
        </w:tc>
        <w:tc>
          <w:tcPr>
            <w:tcW w:w="1063" w:type="dxa"/>
          </w:tcPr>
          <w:p>
            <w:pPr>
              <w:rPr>
                <w:rFonts w:ascii="宋体" w:hAnsi="宋体" w:cs="宋体"/>
                <w:color w:val="323232"/>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515" w:hRule="atLeast"/>
          <w:tblCellSpacing w:w="0" w:type="dxa"/>
        </w:trPr>
        <w:tc>
          <w:tcPr>
            <w:tcW w:w="1388" w:type="dxa"/>
          </w:tcPr>
          <w:p>
            <w:pPr>
              <w:rPr>
                <w:rFonts w:ascii="宋体" w:hAnsi="宋体" w:cs="宋体"/>
                <w:color w:val="323232"/>
                <w:szCs w:val="21"/>
              </w:rPr>
            </w:pPr>
          </w:p>
        </w:tc>
        <w:tc>
          <w:tcPr>
            <w:tcW w:w="1388" w:type="dxa"/>
          </w:tcPr>
          <w:p>
            <w:pPr>
              <w:rPr>
                <w:rFonts w:ascii="宋体" w:hAnsi="宋体" w:cs="宋体"/>
                <w:color w:val="323232"/>
                <w:szCs w:val="21"/>
              </w:rPr>
            </w:pPr>
          </w:p>
        </w:tc>
        <w:tc>
          <w:tcPr>
            <w:tcW w:w="1388" w:type="dxa"/>
          </w:tcPr>
          <w:p>
            <w:pPr>
              <w:rPr>
                <w:rFonts w:ascii="宋体" w:hAnsi="宋体" w:cs="宋体"/>
                <w:color w:val="323232"/>
                <w:szCs w:val="21"/>
              </w:rPr>
            </w:pPr>
          </w:p>
        </w:tc>
        <w:tc>
          <w:tcPr>
            <w:tcW w:w="1388" w:type="dxa"/>
          </w:tcPr>
          <w:p>
            <w:pPr>
              <w:rPr>
                <w:rFonts w:ascii="宋体" w:hAnsi="宋体" w:cs="宋体"/>
                <w:color w:val="323232"/>
                <w:szCs w:val="21"/>
              </w:rPr>
            </w:pPr>
          </w:p>
        </w:tc>
        <w:tc>
          <w:tcPr>
            <w:tcW w:w="1388" w:type="dxa"/>
          </w:tcPr>
          <w:p>
            <w:pPr>
              <w:rPr>
                <w:rFonts w:ascii="宋体" w:hAnsi="宋体" w:cs="宋体"/>
                <w:color w:val="323232"/>
                <w:szCs w:val="21"/>
              </w:rPr>
            </w:pPr>
          </w:p>
        </w:tc>
        <w:tc>
          <w:tcPr>
            <w:tcW w:w="1063" w:type="dxa"/>
          </w:tcPr>
          <w:p>
            <w:pPr>
              <w:rPr>
                <w:rFonts w:ascii="宋体" w:hAnsi="宋体" w:cs="宋体"/>
                <w:color w:val="323232"/>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515" w:hRule="atLeast"/>
          <w:tblCellSpacing w:w="0" w:type="dxa"/>
        </w:trPr>
        <w:tc>
          <w:tcPr>
            <w:tcW w:w="1388" w:type="dxa"/>
          </w:tcPr>
          <w:p>
            <w:pPr>
              <w:rPr>
                <w:rFonts w:ascii="宋体" w:hAnsi="宋体" w:cs="宋体"/>
                <w:color w:val="323232"/>
                <w:szCs w:val="21"/>
              </w:rPr>
            </w:pPr>
          </w:p>
        </w:tc>
        <w:tc>
          <w:tcPr>
            <w:tcW w:w="1388" w:type="dxa"/>
          </w:tcPr>
          <w:p>
            <w:pPr>
              <w:rPr>
                <w:rFonts w:ascii="宋体" w:hAnsi="宋体" w:cs="宋体"/>
                <w:color w:val="323232"/>
                <w:szCs w:val="21"/>
              </w:rPr>
            </w:pPr>
          </w:p>
        </w:tc>
        <w:tc>
          <w:tcPr>
            <w:tcW w:w="1388" w:type="dxa"/>
          </w:tcPr>
          <w:p>
            <w:pPr>
              <w:rPr>
                <w:rFonts w:ascii="宋体" w:hAnsi="宋体" w:cs="宋体"/>
                <w:color w:val="323232"/>
                <w:szCs w:val="21"/>
              </w:rPr>
            </w:pPr>
          </w:p>
        </w:tc>
        <w:tc>
          <w:tcPr>
            <w:tcW w:w="1388" w:type="dxa"/>
          </w:tcPr>
          <w:p>
            <w:pPr>
              <w:rPr>
                <w:rFonts w:ascii="宋体" w:hAnsi="宋体" w:cs="宋体"/>
                <w:color w:val="323232"/>
                <w:szCs w:val="21"/>
              </w:rPr>
            </w:pPr>
          </w:p>
        </w:tc>
        <w:tc>
          <w:tcPr>
            <w:tcW w:w="1388" w:type="dxa"/>
          </w:tcPr>
          <w:p>
            <w:pPr>
              <w:rPr>
                <w:rFonts w:ascii="宋体" w:hAnsi="宋体" w:cs="宋体"/>
                <w:color w:val="323232"/>
                <w:szCs w:val="21"/>
              </w:rPr>
            </w:pPr>
          </w:p>
        </w:tc>
        <w:tc>
          <w:tcPr>
            <w:tcW w:w="1063" w:type="dxa"/>
          </w:tcPr>
          <w:p>
            <w:pPr>
              <w:rPr>
                <w:rFonts w:ascii="宋体" w:hAnsi="宋体" w:cs="宋体"/>
                <w:color w:val="323232"/>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515" w:hRule="atLeast"/>
          <w:tblCellSpacing w:w="0" w:type="dxa"/>
        </w:trPr>
        <w:tc>
          <w:tcPr>
            <w:tcW w:w="1388" w:type="dxa"/>
          </w:tcPr>
          <w:p>
            <w:pPr>
              <w:rPr>
                <w:rFonts w:ascii="宋体" w:hAnsi="宋体" w:cs="宋体"/>
                <w:color w:val="323232"/>
                <w:szCs w:val="21"/>
              </w:rPr>
            </w:pPr>
          </w:p>
        </w:tc>
        <w:tc>
          <w:tcPr>
            <w:tcW w:w="1388" w:type="dxa"/>
          </w:tcPr>
          <w:p>
            <w:pPr>
              <w:rPr>
                <w:rFonts w:ascii="宋体" w:hAnsi="宋体" w:cs="宋体"/>
                <w:color w:val="323232"/>
                <w:szCs w:val="21"/>
              </w:rPr>
            </w:pPr>
          </w:p>
        </w:tc>
        <w:tc>
          <w:tcPr>
            <w:tcW w:w="1388" w:type="dxa"/>
          </w:tcPr>
          <w:p>
            <w:pPr>
              <w:rPr>
                <w:rFonts w:ascii="宋体" w:hAnsi="宋体" w:cs="宋体"/>
                <w:color w:val="323232"/>
                <w:szCs w:val="21"/>
              </w:rPr>
            </w:pPr>
          </w:p>
        </w:tc>
        <w:tc>
          <w:tcPr>
            <w:tcW w:w="1388" w:type="dxa"/>
          </w:tcPr>
          <w:p>
            <w:pPr>
              <w:rPr>
                <w:rFonts w:ascii="宋体" w:hAnsi="宋体" w:cs="宋体"/>
                <w:color w:val="323232"/>
                <w:szCs w:val="21"/>
              </w:rPr>
            </w:pPr>
          </w:p>
        </w:tc>
        <w:tc>
          <w:tcPr>
            <w:tcW w:w="1388" w:type="dxa"/>
          </w:tcPr>
          <w:p>
            <w:pPr>
              <w:rPr>
                <w:rFonts w:ascii="宋体" w:hAnsi="宋体" w:cs="宋体"/>
                <w:color w:val="323232"/>
                <w:szCs w:val="21"/>
              </w:rPr>
            </w:pPr>
          </w:p>
        </w:tc>
        <w:tc>
          <w:tcPr>
            <w:tcW w:w="1063" w:type="dxa"/>
          </w:tcPr>
          <w:p>
            <w:pPr>
              <w:rPr>
                <w:rFonts w:ascii="宋体" w:hAnsi="宋体" w:cs="宋体"/>
                <w:color w:val="323232"/>
                <w:szCs w:val="21"/>
              </w:rPr>
            </w:pPr>
          </w:p>
        </w:tc>
      </w:tr>
      <w:tr>
        <w:tblPrEx>
          <w:tblLayout w:type="fixed"/>
          <w:tblCellMar>
            <w:top w:w="0" w:type="dxa"/>
            <w:left w:w="0" w:type="dxa"/>
            <w:bottom w:w="0" w:type="dxa"/>
            <w:right w:w="0" w:type="dxa"/>
          </w:tblCellMar>
        </w:tblPrEx>
        <w:trPr>
          <w:trHeight w:val="515" w:hRule="atLeast"/>
          <w:tblCellSpacing w:w="0" w:type="dxa"/>
        </w:trPr>
        <w:tc>
          <w:tcPr>
            <w:tcW w:w="1388" w:type="dxa"/>
          </w:tcPr>
          <w:p>
            <w:pPr>
              <w:rPr>
                <w:rFonts w:ascii="宋体" w:hAnsi="宋体" w:cs="宋体"/>
                <w:color w:val="323232"/>
                <w:szCs w:val="21"/>
              </w:rPr>
            </w:pPr>
          </w:p>
        </w:tc>
        <w:tc>
          <w:tcPr>
            <w:tcW w:w="1388" w:type="dxa"/>
          </w:tcPr>
          <w:p>
            <w:pPr>
              <w:rPr>
                <w:rFonts w:ascii="宋体" w:hAnsi="宋体" w:cs="宋体"/>
                <w:color w:val="323232"/>
                <w:szCs w:val="21"/>
              </w:rPr>
            </w:pPr>
          </w:p>
        </w:tc>
        <w:tc>
          <w:tcPr>
            <w:tcW w:w="1388" w:type="dxa"/>
          </w:tcPr>
          <w:p>
            <w:pPr>
              <w:rPr>
                <w:rFonts w:ascii="宋体" w:hAnsi="宋体" w:cs="宋体"/>
                <w:color w:val="323232"/>
                <w:szCs w:val="21"/>
              </w:rPr>
            </w:pPr>
          </w:p>
        </w:tc>
        <w:tc>
          <w:tcPr>
            <w:tcW w:w="1388" w:type="dxa"/>
          </w:tcPr>
          <w:p>
            <w:pPr>
              <w:rPr>
                <w:rFonts w:ascii="宋体" w:hAnsi="宋体" w:cs="宋体"/>
                <w:color w:val="323232"/>
                <w:szCs w:val="21"/>
              </w:rPr>
            </w:pPr>
          </w:p>
        </w:tc>
        <w:tc>
          <w:tcPr>
            <w:tcW w:w="1388" w:type="dxa"/>
          </w:tcPr>
          <w:p>
            <w:pPr>
              <w:rPr>
                <w:rFonts w:ascii="宋体" w:hAnsi="宋体" w:cs="宋体"/>
                <w:color w:val="323232"/>
                <w:szCs w:val="21"/>
              </w:rPr>
            </w:pPr>
          </w:p>
        </w:tc>
        <w:tc>
          <w:tcPr>
            <w:tcW w:w="1063" w:type="dxa"/>
          </w:tcPr>
          <w:p>
            <w:pPr>
              <w:rPr>
                <w:rFonts w:ascii="宋体" w:hAnsi="宋体" w:cs="宋体"/>
                <w:color w:val="323232"/>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515" w:hRule="atLeast"/>
          <w:tblCellSpacing w:w="0" w:type="dxa"/>
        </w:trPr>
        <w:tc>
          <w:tcPr>
            <w:tcW w:w="1388" w:type="dxa"/>
          </w:tcPr>
          <w:p>
            <w:pPr>
              <w:rPr>
                <w:rFonts w:ascii="宋体" w:hAnsi="宋体" w:cs="宋体"/>
                <w:color w:val="323232"/>
                <w:szCs w:val="21"/>
              </w:rPr>
            </w:pPr>
          </w:p>
        </w:tc>
        <w:tc>
          <w:tcPr>
            <w:tcW w:w="1388" w:type="dxa"/>
          </w:tcPr>
          <w:p>
            <w:pPr>
              <w:rPr>
                <w:rFonts w:ascii="宋体" w:hAnsi="宋体" w:cs="宋体"/>
                <w:color w:val="323232"/>
                <w:szCs w:val="21"/>
              </w:rPr>
            </w:pPr>
          </w:p>
        </w:tc>
        <w:tc>
          <w:tcPr>
            <w:tcW w:w="1388" w:type="dxa"/>
          </w:tcPr>
          <w:p>
            <w:pPr>
              <w:rPr>
                <w:rFonts w:ascii="宋体" w:hAnsi="宋体" w:cs="宋体"/>
                <w:color w:val="323232"/>
                <w:szCs w:val="21"/>
              </w:rPr>
            </w:pPr>
          </w:p>
        </w:tc>
        <w:tc>
          <w:tcPr>
            <w:tcW w:w="1388" w:type="dxa"/>
          </w:tcPr>
          <w:p>
            <w:pPr>
              <w:rPr>
                <w:rFonts w:ascii="宋体" w:hAnsi="宋体" w:cs="宋体"/>
                <w:color w:val="323232"/>
                <w:szCs w:val="21"/>
              </w:rPr>
            </w:pPr>
          </w:p>
        </w:tc>
        <w:tc>
          <w:tcPr>
            <w:tcW w:w="1388" w:type="dxa"/>
          </w:tcPr>
          <w:p>
            <w:pPr>
              <w:rPr>
                <w:rFonts w:ascii="宋体" w:hAnsi="宋体" w:cs="宋体"/>
                <w:color w:val="323232"/>
                <w:szCs w:val="21"/>
              </w:rPr>
            </w:pPr>
          </w:p>
        </w:tc>
        <w:tc>
          <w:tcPr>
            <w:tcW w:w="1063" w:type="dxa"/>
          </w:tcPr>
          <w:p>
            <w:pPr>
              <w:rPr>
                <w:rFonts w:ascii="宋体" w:hAnsi="宋体" w:cs="宋体"/>
                <w:color w:val="323232"/>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515" w:hRule="atLeast"/>
          <w:tblCellSpacing w:w="0" w:type="dxa"/>
        </w:trPr>
        <w:tc>
          <w:tcPr>
            <w:tcW w:w="1388" w:type="dxa"/>
          </w:tcPr>
          <w:p>
            <w:pPr>
              <w:rPr>
                <w:rFonts w:ascii="宋体" w:hAnsi="宋体" w:cs="宋体"/>
                <w:color w:val="323232"/>
                <w:szCs w:val="21"/>
              </w:rPr>
            </w:pPr>
          </w:p>
        </w:tc>
        <w:tc>
          <w:tcPr>
            <w:tcW w:w="1388" w:type="dxa"/>
          </w:tcPr>
          <w:p>
            <w:pPr>
              <w:rPr>
                <w:rFonts w:ascii="宋体" w:hAnsi="宋体" w:cs="宋体"/>
                <w:color w:val="323232"/>
                <w:szCs w:val="21"/>
              </w:rPr>
            </w:pPr>
          </w:p>
        </w:tc>
        <w:tc>
          <w:tcPr>
            <w:tcW w:w="1388" w:type="dxa"/>
          </w:tcPr>
          <w:p>
            <w:pPr>
              <w:rPr>
                <w:rFonts w:ascii="宋体" w:hAnsi="宋体" w:cs="宋体"/>
                <w:color w:val="323232"/>
                <w:szCs w:val="21"/>
              </w:rPr>
            </w:pPr>
          </w:p>
        </w:tc>
        <w:tc>
          <w:tcPr>
            <w:tcW w:w="1388" w:type="dxa"/>
          </w:tcPr>
          <w:p>
            <w:pPr>
              <w:rPr>
                <w:rFonts w:ascii="宋体" w:hAnsi="宋体" w:cs="宋体"/>
                <w:color w:val="323232"/>
                <w:szCs w:val="21"/>
              </w:rPr>
            </w:pPr>
          </w:p>
        </w:tc>
        <w:tc>
          <w:tcPr>
            <w:tcW w:w="1388" w:type="dxa"/>
          </w:tcPr>
          <w:p>
            <w:pPr>
              <w:rPr>
                <w:rFonts w:ascii="宋体" w:hAnsi="宋体" w:cs="宋体"/>
                <w:color w:val="323232"/>
                <w:szCs w:val="21"/>
              </w:rPr>
            </w:pPr>
          </w:p>
        </w:tc>
        <w:tc>
          <w:tcPr>
            <w:tcW w:w="1063" w:type="dxa"/>
          </w:tcPr>
          <w:p>
            <w:pPr>
              <w:rPr>
                <w:rFonts w:ascii="宋体" w:hAnsi="宋体" w:cs="宋体"/>
                <w:color w:val="323232"/>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515" w:hRule="atLeast"/>
          <w:tblCellSpacing w:w="0" w:type="dxa"/>
        </w:trPr>
        <w:tc>
          <w:tcPr>
            <w:tcW w:w="1388" w:type="dxa"/>
          </w:tcPr>
          <w:p>
            <w:pPr>
              <w:rPr>
                <w:rFonts w:ascii="宋体" w:hAnsi="宋体" w:cs="宋体"/>
                <w:color w:val="323232"/>
                <w:szCs w:val="21"/>
              </w:rPr>
            </w:pPr>
          </w:p>
        </w:tc>
        <w:tc>
          <w:tcPr>
            <w:tcW w:w="1388" w:type="dxa"/>
          </w:tcPr>
          <w:p>
            <w:pPr>
              <w:rPr>
                <w:rFonts w:ascii="宋体" w:hAnsi="宋体" w:cs="宋体"/>
                <w:color w:val="323232"/>
                <w:szCs w:val="21"/>
              </w:rPr>
            </w:pPr>
          </w:p>
        </w:tc>
        <w:tc>
          <w:tcPr>
            <w:tcW w:w="1388" w:type="dxa"/>
          </w:tcPr>
          <w:p>
            <w:pPr>
              <w:rPr>
                <w:rFonts w:ascii="宋体" w:hAnsi="宋体" w:cs="宋体"/>
                <w:color w:val="323232"/>
                <w:szCs w:val="21"/>
              </w:rPr>
            </w:pPr>
          </w:p>
        </w:tc>
        <w:tc>
          <w:tcPr>
            <w:tcW w:w="1388" w:type="dxa"/>
          </w:tcPr>
          <w:p>
            <w:pPr>
              <w:rPr>
                <w:rFonts w:ascii="宋体" w:hAnsi="宋体" w:cs="宋体"/>
                <w:color w:val="323232"/>
                <w:szCs w:val="21"/>
              </w:rPr>
            </w:pPr>
          </w:p>
        </w:tc>
        <w:tc>
          <w:tcPr>
            <w:tcW w:w="1388" w:type="dxa"/>
          </w:tcPr>
          <w:p>
            <w:pPr>
              <w:rPr>
                <w:rFonts w:ascii="宋体" w:hAnsi="宋体" w:cs="宋体"/>
                <w:color w:val="323232"/>
                <w:szCs w:val="21"/>
              </w:rPr>
            </w:pPr>
          </w:p>
        </w:tc>
        <w:tc>
          <w:tcPr>
            <w:tcW w:w="1063" w:type="dxa"/>
          </w:tcPr>
          <w:p>
            <w:pPr>
              <w:rPr>
                <w:rFonts w:ascii="宋体" w:hAnsi="宋体" w:cs="宋体"/>
                <w:color w:val="323232"/>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515" w:hRule="atLeast"/>
          <w:tblCellSpacing w:w="0" w:type="dxa"/>
        </w:trPr>
        <w:tc>
          <w:tcPr>
            <w:tcW w:w="1388" w:type="dxa"/>
          </w:tcPr>
          <w:p>
            <w:pPr>
              <w:rPr>
                <w:rFonts w:ascii="宋体" w:hAnsi="宋体" w:cs="宋体"/>
                <w:color w:val="323232"/>
                <w:szCs w:val="21"/>
              </w:rPr>
            </w:pPr>
          </w:p>
        </w:tc>
        <w:tc>
          <w:tcPr>
            <w:tcW w:w="1388" w:type="dxa"/>
          </w:tcPr>
          <w:p>
            <w:pPr>
              <w:rPr>
                <w:rFonts w:ascii="宋体" w:hAnsi="宋体" w:cs="宋体"/>
                <w:color w:val="323232"/>
                <w:szCs w:val="21"/>
              </w:rPr>
            </w:pPr>
          </w:p>
        </w:tc>
        <w:tc>
          <w:tcPr>
            <w:tcW w:w="1388" w:type="dxa"/>
          </w:tcPr>
          <w:p>
            <w:pPr>
              <w:rPr>
                <w:rFonts w:ascii="宋体" w:hAnsi="宋体" w:cs="宋体"/>
                <w:color w:val="323232"/>
                <w:szCs w:val="21"/>
              </w:rPr>
            </w:pPr>
          </w:p>
        </w:tc>
        <w:tc>
          <w:tcPr>
            <w:tcW w:w="1388" w:type="dxa"/>
          </w:tcPr>
          <w:p>
            <w:pPr>
              <w:rPr>
                <w:rFonts w:ascii="宋体" w:hAnsi="宋体" w:cs="宋体"/>
                <w:color w:val="323232"/>
                <w:szCs w:val="21"/>
              </w:rPr>
            </w:pPr>
          </w:p>
        </w:tc>
        <w:tc>
          <w:tcPr>
            <w:tcW w:w="1388" w:type="dxa"/>
          </w:tcPr>
          <w:p>
            <w:pPr>
              <w:rPr>
                <w:rFonts w:ascii="宋体" w:hAnsi="宋体" w:cs="宋体"/>
                <w:color w:val="323232"/>
                <w:szCs w:val="21"/>
              </w:rPr>
            </w:pPr>
          </w:p>
        </w:tc>
        <w:tc>
          <w:tcPr>
            <w:tcW w:w="1063" w:type="dxa"/>
          </w:tcPr>
          <w:p>
            <w:pPr>
              <w:rPr>
                <w:rFonts w:ascii="宋体" w:hAnsi="宋体" w:cs="宋体"/>
                <w:color w:val="323232"/>
                <w:szCs w:val="21"/>
              </w:rPr>
            </w:pPr>
          </w:p>
        </w:tc>
      </w:tr>
      <w:tr>
        <w:tblPrEx>
          <w:tblLayout w:type="fixed"/>
          <w:tblCellMar>
            <w:top w:w="0" w:type="dxa"/>
            <w:left w:w="0" w:type="dxa"/>
            <w:bottom w:w="0" w:type="dxa"/>
            <w:right w:w="0" w:type="dxa"/>
          </w:tblCellMar>
        </w:tblPrEx>
        <w:trPr>
          <w:trHeight w:val="515" w:hRule="atLeast"/>
          <w:tblCellSpacing w:w="0" w:type="dxa"/>
        </w:trPr>
        <w:tc>
          <w:tcPr>
            <w:tcW w:w="1388" w:type="dxa"/>
          </w:tcPr>
          <w:p>
            <w:pPr>
              <w:rPr>
                <w:rFonts w:ascii="宋体" w:hAnsi="宋体" w:cs="宋体"/>
                <w:color w:val="323232"/>
                <w:szCs w:val="21"/>
              </w:rPr>
            </w:pPr>
          </w:p>
        </w:tc>
        <w:tc>
          <w:tcPr>
            <w:tcW w:w="1388" w:type="dxa"/>
          </w:tcPr>
          <w:p>
            <w:pPr>
              <w:rPr>
                <w:rFonts w:ascii="宋体" w:hAnsi="宋体" w:cs="宋体"/>
                <w:color w:val="323232"/>
                <w:szCs w:val="21"/>
              </w:rPr>
            </w:pPr>
          </w:p>
        </w:tc>
        <w:tc>
          <w:tcPr>
            <w:tcW w:w="1388" w:type="dxa"/>
          </w:tcPr>
          <w:p>
            <w:pPr>
              <w:rPr>
                <w:rFonts w:ascii="宋体" w:hAnsi="宋体" w:cs="宋体"/>
                <w:color w:val="323232"/>
                <w:szCs w:val="21"/>
              </w:rPr>
            </w:pPr>
          </w:p>
        </w:tc>
        <w:tc>
          <w:tcPr>
            <w:tcW w:w="1388" w:type="dxa"/>
          </w:tcPr>
          <w:p>
            <w:pPr>
              <w:rPr>
                <w:rFonts w:ascii="宋体" w:hAnsi="宋体" w:cs="宋体"/>
                <w:color w:val="323232"/>
                <w:szCs w:val="21"/>
              </w:rPr>
            </w:pPr>
          </w:p>
        </w:tc>
        <w:tc>
          <w:tcPr>
            <w:tcW w:w="1388" w:type="dxa"/>
          </w:tcPr>
          <w:p>
            <w:pPr>
              <w:rPr>
                <w:rFonts w:ascii="宋体" w:hAnsi="宋体" w:cs="宋体"/>
                <w:color w:val="323232"/>
                <w:szCs w:val="21"/>
              </w:rPr>
            </w:pPr>
          </w:p>
        </w:tc>
        <w:tc>
          <w:tcPr>
            <w:tcW w:w="1063" w:type="dxa"/>
          </w:tcPr>
          <w:p>
            <w:pPr>
              <w:rPr>
                <w:rFonts w:ascii="宋体" w:hAnsi="宋体" w:cs="宋体"/>
                <w:color w:val="323232"/>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515" w:hRule="atLeast"/>
          <w:tblCellSpacing w:w="0" w:type="dxa"/>
        </w:trPr>
        <w:tc>
          <w:tcPr>
            <w:tcW w:w="1388" w:type="dxa"/>
          </w:tcPr>
          <w:p>
            <w:pPr>
              <w:rPr>
                <w:rFonts w:ascii="宋体" w:hAnsi="宋体" w:cs="宋体"/>
                <w:color w:val="323232"/>
                <w:szCs w:val="21"/>
              </w:rPr>
            </w:pPr>
          </w:p>
        </w:tc>
        <w:tc>
          <w:tcPr>
            <w:tcW w:w="1388" w:type="dxa"/>
          </w:tcPr>
          <w:p>
            <w:pPr>
              <w:rPr>
                <w:rFonts w:ascii="宋体" w:hAnsi="宋体" w:cs="宋体"/>
                <w:color w:val="323232"/>
                <w:szCs w:val="21"/>
              </w:rPr>
            </w:pPr>
          </w:p>
        </w:tc>
        <w:tc>
          <w:tcPr>
            <w:tcW w:w="1388" w:type="dxa"/>
          </w:tcPr>
          <w:p>
            <w:pPr>
              <w:rPr>
                <w:rFonts w:ascii="宋体" w:hAnsi="宋体" w:cs="宋体"/>
                <w:color w:val="323232"/>
                <w:szCs w:val="21"/>
              </w:rPr>
            </w:pPr>
          </w:p>
        </w:tc>
        <w:tc>
          <w:tcPr>
            <w:tcW w:w="1388" w:type="dxa"/>
          </w:tcPr>
          <w:p>
            <w:pPr>
              <w:rPr>
                <w:rFonts w:ascii="宋体" w:hAnsi="宋体" w:cs="宋体"/>
                <w:color w:val="323232"/>
                <w:szCs w:val="21"/>
              </w:rPr>
            </w:pPr>
          </w:p>
        </w:tc>
        <w:tc>
          <w:tcPr>
            <w:tcW w:w="1388" w:type="dxa"/>
          </w:tcPr>
          <w:p>
            <w:pPr>
              <w:rPr>
                <w:rFonts w:ascii="宋体" w:hAnsi="宋体" w:cs="宋体"/>
                <w:color w:val="323232"/>
                <w:szCs w:val="21"/>
              </w:rPr>
            </w:pPr>
          </w:p>
        </w:tc>
        <w:tc>
          <w:tcPr>
            <w:tcW w:w="1063" w:type="dxa"/>
          </w:tcPr>
          <w:p>
            <w:pPr>
              <w:rPr>
                <w:rFonts w:ascii="宋体" w:hAnsi="宋体" w:cs="宋体"/>
                <w:color w:val="323232"/>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515" w:hRule="atLeast"/>
          <w:tblCellSpacing w:w="0" w:type="dxa"/>
        </w:trPr>
        <w:tc>
          <w:tcPr>
            <w:tcW w:w="1388" w:type="dxa"/>
          </w:tcPr>
          <w:p>
            <w:pPr>
              <w:rPr>
                <w:rFonts w:ascii="宋体" w:hAnsi="宋体" w:cs="宋体"/>
                <w:color w:val="323232"/>
                <w:szCs w:val="21"/>
              </w:rPr>
            </w:pPr>
          </w:p>
        </w:tc>
        <w:tc>
          <w:tcPr>
            <w:tcW w:w="1388" w:type="dxa"/>
          </w:tcPr>
          <w:p>
            <w:pPr>
              <w:rPr>
                <w:rFonts w:ascii="宋体" w:hAnsi="宋体" w:cs="宋体"/>
                <w:color w:val="323232"/>
                <w:szCs w:val="21"/>
              </w:rPr>
            </w:pPr>
          </w:p>
        </w:tc>
        <w:tc>
          <w:tcPr>
            <w:tcW w:w="1388" w:type="dxa"/>
          </w:tcPr>
          <w:p>
            <w:pPr>
              <w:rPr>
                <w:rFonts w:ascii="宋体" w:hAnsi="宋体" w:cs="宋体"/>
                <w:color w:val="323232"/>
                <w:szCs w:val="21"/>
              </w:rPr>
            </w:pPr>
          </w:p>
        </w:tc>
        <w:tc>
          <w:tcPr>
            <w:tcW w:w="1388" w:type="dxa"/>
          </w:tcPr>
          <w:p>
            <w:pPr>
              <w:rPr>
                <w:rFonts w:ascii="宋体" w:hAnsi="宋体" w:cs="宋体"/>
                <w:color w:val="323232"/>
                <w:szCs w:val="21"/>
              </w:rPr>
            </w:pPr>
          </w:p>
        </w:tc>
        <w:tc>
          <w:tcPr>
            <w:tcW w:w="1388" w:type="dxa"/>
          </w:tcPr>
          <w:p>
            <w:pPr>
              <w:rPr>
                <w:rFonts w:ascii="宋体" w:hAnsi="宋体" w:cs="宋体"/>
                <w:color w:val="323232"/>
                <w:szCs w:val="21"/>
              </w:rPr>
            </w:pPr>
          </w:p>
        </w:tc>
        <w:tc>
          <w:tcPr>
            <w:tcW w:w="1063" w:type="dxa"/>
          </w:tcPr>
          <w:p>
            <w:pPr>
              <w:rPr>
                <w:rFonts w:ascii="宋体" w:hAnsi="宋体" w:cs="宋体"/>
                <w:color w:val="323232"/>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515" w:hRule="atLeast"/>
          <w:tblCellSpacing w:w="0" w:type="dxa"/>
        </w:trPr>
        <w:tc>
          <w:tcPr>
            <w:tcW w:w="1388" w:type="dxa"/>
          </w:tcPr>
          <w:p>
            <w:pPr>
              <w:rPr>
                <w:rFonts w:ascii="宋体" w:hAnsi="宋体" w:cs="宋体"/>
                <w:color w:val="323232"/>
                <w:szCs w:val="21"/>
              </w:rPr>
            </w:pPr>
          </w:p>
        </w:tc>
        <w:tc>
          <w:tcPr>
            <w:tcW w:w="1388" w:type="dxa"/>
          </w:tcPr>
          <w:p>
            <w:pPr>
              <w:rPr>
                <w:rFonts w:ascii="宋体" w:hAnsi="宋体" w:cs="宋体"/>
                <w:color w:val="323232"/>
                <w:szCs w:val="21"/>
              </w:rPr>
            </w:pPr>
          </w:p>
        </w:tc>
        <w:tc>
          <w:tcPr>
            <w:tcW w:w="1388" w:type="dxa"/>
          </w:tcPr>
          <w:p>
            <w:pPr>
              <w:rPr>
                <w:rFonts w:ascii="宋体" w:hAnsi="宋体" w:cs="宋体"/>
                <w:color w:val="323232"/>
                <w:szCs w:val="21"/>
              </w:rPr>
            </w:pPr>
          </w:p>
        </w:tc>
        <w:tc>
          <w:tcPr>
            <w:tcW w:w="1388" w:type="dxa"/>
          </w:tcPr>
          <w:p>
            <w:pPr>
              <w:rPr>
                <w:rFonts w:ascii="宋体" w:hAnsi="宋体" w:cs="宋体"/>
                <w:color w:val="323232"/>
                <w:szCs w:val="21"/>
              </w:rPr>
            </w:pPr>
          </w:p>
        </w:tc>
        <w:tc>
          <w:tcPr>
            <w:tcW w:w="1388" w:type="dxa"/>
          </w:tcPr>
          <w:p>
            <w:pPr>
              <w:rPr>
                <w:rFonts w:ascii="宋体" w:hAnsi="宋体" w:cs="宋体"/>
                <w:color w:val="323232"/>
                <w:szCs w:val="21"/>
              </w:rPr>
            </w:pPr>
          </w:p>
        </w:tc>
        <w:tc>
          <w:tcPr>
            <w:tcW w:w="1063" w:type="dxa"/>
          </w:tcPr>
          <w:p>
            <w:pPr>
              <w:rPr>
                <w:rFonts w:ascii="宋体" w:hAnsi="宋体" w:cs="宋体"/>
                <w:color w:val="323232"/>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515" w:hRule="atLeast"/>
          <w:tblCellSpacing w:w="0" w:type="dxa"/>
        </w:trPr>
        <w:tc>
          <w:tcPr>
            <w:tcW w:w="1388" w:type="dxa"/>
          </w:tcPr>
          <w:p>
            <w:pPr>
              <w:rPr>
                <w:rFonts w:ascii="宋体" w:hAnsi="宋体" w:cs="宋体"/>
                <w:color w:val="323232"/>
                <w:szCs w:val="21"/>
              </w:rPr>
            </w:pPr>
          </w:p>
        </w:tc>
        <w:tc>
          <w:tcPr>
            <w:tcW w:w="1388" w:type="dxa"/>
          </w:tcPr>
          <w:p>
            <w:pPr>
              <w:rPr>
                <w:rFonts w:ascii="宋体" w:hAnsi="宋体" w:cs="宋体"/>
                <w:color w:val="323232"/>
                <w:szCs w:val="21"/>
              </w:rPr>
            </w:pPr>
          </w:p>
        </w:tc>
        <w:tc>
          <w:tcPr>
            <w:tcW w:w="1388" w:type="dxa"/>
          </w:tcPr>
          <w:p>
            <w:pPr>
              <w:rPr>
                <w:rFonts w:ascii="宋体" w:hAnsi="宋体" w:cs="宋体"/>
                <w:color w:val="323232"/>
                <w:szCs w:val="21"/>
              </w:rPr>
            </w:pPr>
          </w:p>
        </w:tc>
        <w:tc>
          <w:tcPr>
            <w:tcW w:w="1388" w:type="dxa"/>
          </w:tcPr>
          <w:p>
            <w:pPr>
              <w:rPr>
                <w:rFonts w:ascii="宋体" w:hAnsi="宋体" w:cs="宋体"/>
                <w:color w:val="323232"/>
                <w:szCs w:val="21"/>
              </w:rPr>
            </w:pPr>
          </w:p>
        </w:tc>
        <w:tc>
          <w:tcPr>
            <w:tcW w:w="1388" w:type="dxa"/>
          </w:tcPr>
          <w:p>
            <w:pPr>
              <w:rPr>
                <w:rFonts w:ascii="宋体" w:hAnsi="宋体" w:cs="宋体"/>
                <w:color w:val="323232"/>
                <w:szCs w:val="21"/>
              </w:rPr>
            </w:pPr>
          </w:p>
        </w:tc>
        <w:tc>
          <w:tcPr>
            <w:tcW w:w="1063" w:type="dxa"/>
          </w:tcPr>
          <w:p>
            <w:pPr>
              <w:rPr>
                <w:rFonts w:ascii="宋体" w:hAnsi="宋体" w:cs="宋体"/>
                <w:color w:val="323232"/>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515" w:hRule="atLeast"/>
          <w:tblCellSpacing w:w="0" w:type="dxa"/>
        </w:trPr>
        <w:tc>
          <w:tcPr>
            <w:tcW w:w="1388" w:type="dxa"/>
          </w:tcPr>
          <w:p>
            <w:pPr>
              <w:rPr>
                <w:rFonts w:ascii="宋体" w:hAnsi="宋体" w:cs="宋体"/>
                <w:color w:val="323232"/>
                <w:szCs w:val="21"/>
              </w:rPr>
            </w:pPr>
          </w:p>
        </w:tc>
        <w:tc>
          <w:tcPr>
            <w:tcW w:w="1388" w:type="dxa"/>
          </w:tcPr>
          <w:p>
            <w:pPr>
              <w:rPr>
                <w:rFonts w:ascii="宋体" w:hAnsi="宋体" w:cs="宋体"/>
                <w:color w:val="323232"/>
                <w:szCs w:val="21"/>
              </w:rPr>
            </w:pPr>
          </w:p>
        </w:tc>
        <w:tc>
          <w:tcPr>
            <w:tcW w:w="1388" w:type="dxa"/>
          </w:tcPr>
          <w:p>
            <w:pPr>
              <w:rPr>
                <w:rFonts w:ascii="宋体" w:hAnsi="宋体" w:cs="宋体"/>
                <w:color w:val="323232"/>
                <w:szCs w:val="21"/>
              </w:rPr>
            </w:pPr>
          </w:p>
        </w:tc>
        <w:tc>
          <w:tcPr>
            <w:tcW w:w="1388" w:type="dxa"/>
          </w:tcPr>
          <w:p>
            <w:pPr>
              <w:rPr>
                <w:rFonts w:ascii="宋体" w:hAnsi="宋体" w:cs="宋体"/>
                <w:color w:val="323232"/>
                <w:szCs w:val="21"/>
              </w:rPr>
            </w:pPr>
          </w:p>
        </w:tc>
        <w:tc>
          <w:tcPr>
            <w:tcW w:w="1388" w:type="dxa"/>
          </w:tcPr>
          <w:p>
            <w:pPr>
              <w:rPr>
                <w:rFonts w:ascii="宋体" w:hAnsi="宋体" w:cs="宋体"/>
                <w:color w:val="323232"/>
                <w:szCs w:val="21"/>
              </w:rPr>
            </w:pPr>
          </w:p>
        </w:tc>
        <w:tc>
          <w:tcPr>
            <w:tcW w:w="1063" w:type="dxa"/>
          </w:tcPr>
          <w:p>
            <w:pPr>
              <w:rPr>
                <w:rFonts w:ascii="宋体" w:hAnsi="宋体" w:cs="宋体"/>
                <w:color w:val="323232"/>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515" w:hRule="atLeast"/>
          <w:tblCellSpacing w:w="0" w:type="dxa"/>
        </w:trPr>
        <w:tc>
          <w:tcPr>
            <w:tcW w:w="1388" w:type="dxa"/>
          </w:tcPr>
          <w:p>
            <w:pPr>
              <w:rPr>
                <w:rFonts w:ascii="宋体" w:hAnsi="宋体" w:cs="宋体"/>
                <w:color w:val="323232"/>
                <w:szCs w:val="21"/>
              </w:rPr>
            </w:pPr>
          </w:p>
        </w:tc>
        <w:tc>
          <w:tcPr>
            <w:tcW w:w="1388" w:type="dxa"/>
          </w:tcPr>
          <w:p>
            <w:pPr>
              <w:rPr>
                <w:rFonts w:ascii="宋体" w:hAnsi="宋体" w:cs="宋体"/>
                <w:color w:val="323232"/>
                <w:szCs w:val="21"/>
              </w:rPr>
            </w:pPr>
          </w:p>
        </w:tc>
        <w:tc>
          <w:tcPr>
            <w:tcW w:w="1388" w:type="dxa"/>
          </w:tcPr>
          <w:p>
            <w:pPr>
              <w:rPr>
                <w:rFonts w:ascii="宋体" w:hAnsi="宋体" w:cs="宋体"/>
                <w:color w:val="323232"/>
                <w:szCs w:val="21"/>
              </w:rPr>
            </w:pPr>
          </w:p>
        </w:tc>
        <w:tc>
          <w:tcPr>
            <w:tcW w:w="1388" w:type="dxa"/>
          </w:tcPr>
          <w:p>
            <w:pPr>
              <w:rPr>
                <w:rFonts w:ascii="宋体" w:hAnsi="宋体" w:cs="宋体"/>
                <w:color w:val="323232"/>
                <w:szCs w:val="21"/>
              </w:rPr>
            </w:pPr>
          </w:p>
        </w:tc>
        <w:tc>
          <w:tcPr>
            <w:tcW w:w="1388" w:type="dxa"/>
          </w:tcPr>
          <w:p>
            <w:pPr>
              <w:rPr>
                <w:rFonts w:ascii="宋体" w:hAnsi="宋体" w:cs="宋体"/>
                <w:color w:val="323232"/>
                <w:szCs w:val="21"/>
              </w:rPr>
            </w:pPr>
          </w:p>
        </w:tc>
        <w:tc>
          <w:tcPr>
            <w:tcW w:w="1063" w:type="dxa"/>
          </w:tcPr>
          <w:p>
            <w:pPr>
              <w:rPr>
                <w:rFonts w:ascii="宋体" w:hAnsi="宋体" w:cs="宋体"/>
                <w:color w:val="323232"/>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515" w:hRule="atLeast"/>
          <w:tblCellSpacing w:w="0" w:type="dxa"/>
        </w:trPr>
        <w:tc>
          <w:tcPr>
            <w:tcW w:w="1388" w:type="dxa"/>
          </w:tcPr>
          <w:p>
            <w:pPr>
              <w:rPr>
                <w:rFonts w:ascii="宋体" w:hAnsi="宋体" w:cs="宋体"/>
                <w:color w:val="323232"/>
                <w:szCs w:val="21"/>
              </w:rPr>
            </w:pPr>
          </w:p>
        </w:tc>
        <w:tc>
          <w:tcPr>
            <w:tcW w:w="1388" w:type="dxa"/>
          </w:tcPr>
          <w:p>
            <w:pPr>
              <w:rPr>
                <w:rFonts w:ascii="宋体" w:hAnsi="宋体" w:cs="宋体"/>
                <w:color w:val="323232"/>
                <w:szCs w:val="21"/>
              </w:rPr>
            </w:pPr>
          </w:p>
        </w:tc>
        <w:tc>
          <w:tcPr>
            <w:tcW w:w="1388" w:type="dxa"/>
          </w:tcPr>
          <w:p>
            <w:pPr>
              <w:rPr>
                <w:rFonts w:ascii="宋体" w:hAnsi="宋体" w:cs="宋体"/>
                <w:color w:val="323232"/>
                <w:szCs w:val="21"/>
              </w:rPr>
            </w:pPr>
          </w:p>
        </w:tc>
        <w:tc>
          <w:tcPr>
            <w:tcW w:w="1388" w:type="dxa"/>
          </w:tcPr>
          <w:p>
            <w:pPr>
              <w:rPr>
                <w:rFonts w:ascii="宋体" w:hAnsi="宋体" w:cs="宋体"/>
                <w:color w:val="323232"/>
                <w:szCs w:val="21"/>
              </w:rPr>
            </w:pPr>
          </w:p>
        </w:tc>
        <w:tc>
          <w:tcPr>
            <w:tcW w:w="1388" w:type="dxa"/>
          </w:tcPr>
          <w:p>
            <w:pPr>
              <w:rPr>
                <w:rFonts w:ascii="宋体" w:hAnsi="宋体" w:cs="宋体"/>
                <w:color w:val="323232"/>
                <w:szCs w:val="21"/>
              </w:rPr>
            </w:pPr>
          </w:p>
        </w:tc>
        <w:tc>
          <w:tcPr>
            <w:tcW w:w="1063" w:type="dxa"/>
          </w:tcPr>
          <w:p>
            <w:pPr>
              <w:rPr>
                <w:rFonts w:ascii="宋体" w:hAnsi="宋体" w:cs="宋体"/>
                <w:color w:val="323232"/>
                <w:szCs w:val="21"/>
              </w:rPr>
            </w:pPr>
          </w:p>
        </w:tc>
      </w:tr>
    </w:tbl>
    <w:p>
      <w:pPr>
        <w:pStyle w:val="20"/>
        <w:rPr>
          <w:sz w:val="21"/>
          <w:szCs w:val="21"/>
        </w:rPr>
      </w:pPr>
      <w:r>
        <w:rPr>
          <w:sz w:val="21"/>
          <w:szCs w:val="21"/>
        </w:rPr>
        <w:t>窗体底端</w:t>
      </w:r>
    </w:p>
    <w:p>
      <w:pPr>
        <w:spacing w:line="360" w:lineRule="auto"/>
        <w:ind w:firstLine="420" w:firstLineChars="200"/>
        <w:rPr>
          <w:rFonts w:ascii="仿宋" w:hAnsi="仿宋" w:eastAsia="仿宋" w:cs="仿宋"/>
          <w:szCs w:val="21"/>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EFF" w:usb1="C0007843" w:usb2="00000009" w:usb3="00000000" w:csb0="400001FF" w:csb1="FFFF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CF3C52" w:usb2="00000016" w:usb3="00000000" w:csb0="0004001F" w:csb1="00000000"/>
  </w:font>
  <w:font w:name="华文楷体">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fldChar w:fldCharType="begin"/>
    </w:r>
    <w:r>
      <w:instrText xml:space="preserve">PAGE   \* MERGEFORMAT</w:instrText>
    </w:r>
    <w:r>
      <w:fldChar w:fldCharType="separate"/>
    </w:r>
    <w:r>
      <w:rPr>
        <w:lang w:val="zh-CN"/>
      </w:rPr>
      <w:t>2</w:t>
    </w:r>
    <w:r>
      <w:fldChar w:fldCharType="end"/>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noPunctuationKerning w:val="1"/>
  <w:characterSpacingControl w:val="compressPunctuation"/>
  <w:compat>
    <w:spaceForUL/>
    <w:balanceSingleByteDoubleByteWidth/>
    <w:doNotLeaveBackslashAlone/>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5601"/>
    <w:rsid w:val="00043212"/>
    <w:rsid w:val="00082341"/>
    <w:rsid w:val="000B1212"/>
    <w:rsid w:val="000D5601"/>
    <w:rsid w:val="000D7BAE"/>
    <w:rsid w:val="001420C9"/>
    <w:rsid w:val="00156BBD"/>
    <w:rsid w:val="003E4747"/>
    <w:rsid w:val="00442A44"/>
    <w:rsid w:val="00627F2B"/>
    <w:rsid w:val="00694E7F"/>
    <w:rsid w:val="006B438A"/>
    <w:rsid w:val="0076110C"/>
    <w:rsid w:val="00794CD0"/>
    <w:rsid w:val="0087362C"/>
    <w:rsid w:val="00A27FE9"/>
    <w:rsid w:val="00B0082D"/>
    <w:rsid w:val="00B118E7"/>
    <w:rsid w:val="00D20F74"/>
    <w:rsid w:val="00D85F16"/>
    <w:rsid w:val="00EC0E42"/>
    <w:rsid w:val="00F14D27"/>
    <w:rsid w:val="00FD40E1"/>
    <w:rsid w:val="011D7C18"/>
    <w:rsid w:val="01976D32"/>
    <w:rsid w:val="18E527BA"/>
    <w:rsid w:val="19D73CA7"/>
    <w:rsid w:val="2C612C7B"/>
    <w:rsid w:val="3A9C0F15"/>
    <w:rsid w:val="48F65878"/>
    <w:rsid w:val="5164665A"/>
    <w:rsid w:val="56B37F7F"/>
    <w:rsid w:val="646745EE"/>
    <w:rsid w:val="647C469A"/>
    <w:rsid w:val="653D255A"/>
    <w:rsid w:val="66266444"/>
    <w:rsid w:val="7044189B"/>
    <w:rsid w:val="72DD5A65"/>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link w:val="12"/>
    <w:qFormat/>
    <w:uiPriority w:val="0"/>
    <w:pPr>
      <w:keepNext/>
      <w:keepLines/>
      <w:spacing w:before="260" w:after="260" w:line="360" w:lineRule="auto"/>
      <w:jc w:val="center"/>
      <w:outlineLvl w:val="1"/>
    </w:pPr>
    <w:rPr>
      <w:rFonts w:ascii="黑体" w:hAnsi="黑体" w:eastAsia="黑体"/>
      <w:b/>
      <w:bCs/>
      <w:kern w:val="0"/>
      <w:sz w:val="32"/>
      <w:szCs w:val="32"/>
    </w:rPr>
  </w:style>
  <w:style w:type="character" w:default="1" w:styleId="7">
    <w:name w:val="Default Paragraph Font"/>
    <w:unhideWhenUsed/>
    <w:qFormat/>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3"/>
    <w:qFormat/>
    <w:uiPriority w:val="0"/>
    <w:pPr>
      <w:jc w:val="left"/>
    </w:pPr>
  </w:style>
  <w:style w:type="paragraph" w:styleId="4">
    <w:name w:val="Balloon Text"/>
    <w:basedOn w:val="1"/>
    <w:link w:val="14"/>
    <w:qFormat/>
    <w:uiPriority w:val="0"/>
    <w:rPr>
      <w:sz w:val="18"/>
      <w:szCs w:val="18"/>
    </w:rPr>
  </w:style>
  <w:style w:type="paragraph" w:styleId="5">
    <w:name w:val="footer"/>
    <w:basedOn w:val="1"/>
    <w:link w:val="15"/>
    <w:qFormat/>
    <w:uiPriority w:val="0"/>
    <w:pPr>
      <w:tabs>
        <w:tab w:val="center" w:pos="4153"/>
        <w:tab w:val="right" w:pos="8306"/>
      </w:tabs>
      <w:snapToGrid w:val="0"/>
      <w:jc w:val="left"/>
    </w:pPr>
    <w:rPr>
      <w:sz w:val="18"/>
      <w:szCs w:val="18"/>
    </w:rPr>
  </w:style>
  <w:style w:type="paragraph" w:styleId="6">
    <w:name w:val="header"/>
    <w:basedOn w:val="1"/>
    <w:link w:val="16"/>
    <w:uiPriority w:val="0"/>
    <w:pPr>
      <w:pBdr>
        <w:bottom w:val="single" w:color="auto" w:sz="6" w:space="1"/>
      </w:pBdr>
      <w:tabs>
        <w:tab w:val="center" w:pos="4153"/>
        <w:tab w:val="right" w:pos="8306"/>
      </w:tabs>
      <w:snapToGrid w:val="0"/>
      <w:jc w:val="center"/>
    </w:pPr>
    <w:rPr>
      <w:sz w:val="18"/>
      <w:szCs w:val="18"/>
    </w:rPr>
  </w:style>
  <w:style w:type="character" w:styleId="8">
    <w:name w:val="Strong"/>
    <w:basedOn w:val="7"/>
    <w:qFormat/>
    <w:uiPriority w:val="0"/>
    <w:rPr>
      <w:b/>
    </w:rPr>
  </w:style>
  <w:style w:type="character" w:styleId="9">
    <w:name w:val="FollowedHyperlink"/>
    <w:basedOn w:val="7"/>
    <w:qFormat/>
    <w:uiPriority w:val="0"/>
    <w:rPr>
      <w:color w:val="323232"/>
      <w:u w:val="none"/>
    </w:rPr>
  </w:style>
  <w:style w:type="character" w:styleId="10">
    <w:name w:val="Hyperlink"/>
    <w:basedOn w:val="7"/>
    <w:qFormat/>
    <w:uiPriority w:val="0"/>
    <w:rPr>
      <w:color w:val="323232"/>
      <w:u w:val="none"/>
    </w:rPr>
  </w:style>
  <w:style w:type="character" w:customStyle="1" w:styleId="12">
    <w:name w:val="标题 2 Char"/>
    <w:basedOn w:val="7"/>
    <w:link w:val="2"/>
    <w:semiHidden/>
    <w:qFormat/>
    <w:uiPriority w:val="0"/>
    <w:rPr>
      <w:rFonts w:ascii="黑体" w:hAnsi="黑体" w:eastAsia="黑体" w:cs="Times New Roman"/>
      <w:b/>
      <w:bCs/>
      <w:kern w:val="0"/>
      <w:sz w:val="32"/>
      <w:szCs w:val="32"/>
    </w:rPr>
  </w:style>
  <w:style w:type="character" w:customStyle="1" w:styleId="13">
    <w:name w:val="批注文字 Char"/>
    <w:basedOn w:val="7"/>
    <w:link w:val="3"/>
    <w:semiHidden/>
    <w:qFormat/>
    <w:uiPriority w:val="0"/>
    <w:rPr>
      <w:rFonts w:ascii="Calibri" w:hAnsi="Calibri" w:eastAsia="宋体" w:cs="Times New Roman"/>
    </w:rPr>
  </w:style>
  <w:style w:type="character" w:customStyle="1" w:styleId="14">
    <w:name w:val="批注框文本 Char"/>
    <w:basedOn w:val="7"/>
    <w:link w:val="4"/>
    <w:semiHidden/>
    <w:qFormat/>
    <w:uiPriority w:val="0"/>
    <w:rPr>
      <w:rFonts w:ascii="Calibri" w:hAnsi="Calibri" w:eastAsia="宋体" w:cs="Times New Roman"/>
      <w:sz w:val="18"/>
      <w:szCs w:val="18"/>
    </w:rPr>
  </w:style>
  <w:style w:type="character" w:customStyle="1" w:styleId="15">
    <w:name w:val="页脚 Char"/>
    <w:basedOn w:val="7"/>
    <w:link w:val="5"/>
    <w:semiHidden/>
    <w:qFormat/>
    <w:uiPriority w:val="0"/>
    <w:rPr>
      <w:sz w:val="18"/>
      <w:szCs w:val="18"/>
    </w:rPr>
  </w:style>
  <w:style w:type="character" w:customStyle="1" w:styleId="16">
    <w:name w:val="页眉 Char"/>
    <w:basedOn w:val="7"/>
    <w:link w:val="6"/>
    <w:semiHidden/>
    <w:qFormat/>
    <w:uiPriority w:val="0"/>
    <w:rPr>
      <w:sz w:val="18"/>
      <w:szCs w:val="18"/>
    </w:rPr>
  </w:style>
  <w:style w:type="paragraph" w:customStyle="1" w:styleId="17">
    <w:name w:val="普通(网站)1"/>
    <w:basedOn w:val="1"/>
    <w:qFormat/>
    <w:uiPriority w:val="0"/>
    <w:pPr>
      <w:spacing w:beforeAutospacing="1" w:afterAutospacing="1"/>
      <w:jc w:val="left"/>
    </w:pPr>
    <w:rPr>
      <w:kern w:val="0"/>
      <w:sz w:val="24"/>
    </w:rPr>
  </w:style>
  <w:style w:type="paragraph" w:customStyle="1" w:styleId="18">
    <w:name w:val="_Style 2"/>
    <w:basedOn w:val="1"/>
    <w:next w:val="1"/>
    <w:qFormat/>
    <w:uiPriority w:val="0"/>
    <w:pPr>
      <w:pBdr>
        <w:top w:val="single" w:color="auto" w:sz="6" w:space="1"/>
      </w:pBdr>
      <w:jc w:val="center"/>
    </w:pPr>
    <w:rPr>
      <w:rFonts w:ascii="Arial"/>
      <w:vanish/>
      <w:sz w:val="16"/>
    </w:rPr>
  </w:style>
  <w:style w:type="paragraph" w:customStyle="1" w:styleId="19">
    <w:name w:val="_Style 19"/>
    <w:basedOn w:val="1"/>
    <w:next w:val="1"/>
    <w:qFormat/>
    <w:uiPriority w:val="0"/>
    <w:pPr>
      <w:pBdr>
        <w:bottom w:val="single" w:color="auto" w:sz="6" w:space="1"/>
      </w:pBdr>
      <w:jc w:val="center"/>
    </w:pPr>
    <w:rPr>
      <w:rFonts w:ascii="Arial"/>
      <w:vanish/>
      <w:sz w:val="16"/>
    </w:rPr>
  </w:style>
  <w:style w:type="paragraph" w:customStyle="1" w:styleId="20">
    <w:name w:val="_Style 20"/>
    <w:basedOn w:val="1"/>
    <w:next w:val="1"/>
    <w:qFormat/>
    <w:uiPriority w:val="0"/>
    <w:pPr>
      <w:pBdr>
        <w:top w:val="single" w:color="auto" w:sz="6" w:space="1"/>
      </w:pBdr>
      <w:jc w:val="center"/>
    </w:pPr>
    <w:rPr>
      <w:rFonts w:ascii="Arial"/>
      <w:vanish/>
      <w:sz w:val="16"/>
    </w:rPr>
  </w:style>
  <w:style w:type="paragraph" w:customStyle="1" w:styleId="21">
    <w:name w:val="列出段落1"/>
    <w:basedOn w:val="1"/>
    <w:qFormat/>
    <w:uiPriority w:val="0"/>
    <w:pPr>
      <w:ind w:firstLine="420" w:firstLineChars="200"/>
    </w:pPr>
  </w:style>
  <w:style w:type="character" w:customStyle="1" w:styleId="22">
    <w:name w:val="批注引用1"/>
    <w:qFormat/>
    <w:uiPriority w:val="0"/>
    <w:rPr>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603</Words>
  <Characters>3440</Characters>
  <Lines>28</Lines>
  <Paragraphs>8</Paragraphs>
  <ScaleCrop>false</ScaleCrop>
  <LinksUpToDate>false</LinksUpToDate>
  <CharactersWithSpaces>4035</CharactersWithSpaces>
  <Application>WPS Office_10.1.0.5866_F1E327BC-269C-435d-A152-05C5408002CA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2016-08-17T09:57:00Z</dcterms:created>
  <dc:creator>赵首辰</dc:creator>
  <cp:lastModifiedBy>Administrator</cp:lastModifiedBy>
  <cp:lastPrinted>2016-08-22T03:56:00Z</cp:lastPrinted>
  <dcterms:modified xsi:type="dcterms:W3CDTF">2016-08-23T10:42:25Z</dcterms:modified>
  <dc:title>孙马</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2052-10.1.0.5866</vt:lpwstr>
  </property>
</Properties>
</file>